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76168B2F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="00233081">
        <w:rPr>
          <w:b/>
          <w:color w:val="FF0000"/>
          <w:sz w:val="20"/>
          <w:szCs w:val="20"/>
        </w:rPr>
        <w:t xml:space="preserve">DA {{Unidade}} </w:t>
      </w:r>
      <w:r>
        <w:rPr>
          <w:b/>
          <w:sz w:val="20"/>
          <w:szCs w:val="20"/>
        </w:rPr>
        <w:t xml:space="preserve">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233081">
        <w:rPr>
          <w:b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6C4BF240" w14:textId="77777777" w:rsidR="000E1456" w:rsidRDefault="000E1456" w:rsidP="00233081">
      <w:pPr>
        <w:spacing w:before="240" w:after="240" w:line="240" w:lineRule="auto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 w:rsidRPr="00233081">
        <w:rPr>
          <w:b/>
          <w:sz w:val="20"/>
          <w:szCs w:val="20"/>
        </w:rPr>
        <w:t>SEI</w:t>
      </w:r>
      <w:r>
        <w:rPr>
          <w:b/>
          <w:color w:val="FF0000"/>
          <w:sz w:val="20"/>
          <w:szCs w:val="20"/>
        </w:rPr>
        <w:t xml:space="preserve">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9E1EEDD" w14:textId="77777777" w:rsidR="00233081" w:rsidRDefault="00233081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tbl>
      <w:tblPr>
        <w:tblStyle w:val="a0"/>
        <w:tblpPr w:leftFromText="180" w:rightFromText="180" w:topFromText="180" w:bottomFromText="180" w:vertAnchor="text"/>
        <w:tblW w:w="7090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6290"/>
      </w:tblGrid>
      <w:tr w:rsidR="000E1456" w14:paraId="669D5CC8" w14:textId="77777777">
        <w:trPr>
          <w:trHeight w:val="344"/>
        </w:trPr>
        <w:tc>
          <w:tcPr>
            <w:tcW w:w="80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BFAE8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Sigla</w:t>
            </w:r>
          </w:p>
        </w:tc>
        <w:tc>
          <w:tcPr>
            <w:tcW w:w="6290" w:type="dxa"/>
            <w:shd w:val="clear" w:color="auto" w:fill="CCCCCC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971F6C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0E1456" w14:paraId="31D16D30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DFD49B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9028C6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Água</w:t>
            </w:r>
          </w:p>
        </w:tc>
      </w:tr>
      <w:tr w:rsidR="000E1456" w14:paraId="5FF1488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A56AA7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9D79E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de Tratamento de Esgoto</w:t>
            </w:r>
          </w:p>
        </w:tc>
      </w:tr>
      <w:tr w:rsidR="000E1456" w14:paraId="789FDFF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678E9D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EEab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7AED14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bruta</w:t>
            </w:r>
          </w:p>
        </w:tc>
      </w:tr>
      <w:tr w:rsidR="000E1456" w14:paraId="64F17E4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860100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EEat</w:t>
            </w:r>
            <w:proofErr w:type="spellEnd"/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852A0D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Estação Elevatória de água tratada</w:t>
            </w:r>
          </w:p>
        </w:tc>
      </w:tr>
      <w:tr w:rsidR="000E1456" w14:paraId="612183F2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F86FEC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8E9EC7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Elevado</w:t>
            </w:r>
          </w:p>
        </w:tc>
      </w:tr>
      <w:tr w:rsidR="000E1456" w14:paraId="36486645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DCFB84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04DD3BB6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Reservatório Apoiado</w:t>
            </w:r>
          </w:p>
        </w:tc>
      </w:tr>
      <w:tr w:rsidR="000E1456" w14:paraId="6658504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28844E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CMB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C8119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Conjunto Moto Bomba</w:t>
            </w:r>
          </w:p>
        </w:tc>
      </w:tr>
      <w:tr w:rsidR="000E1456" w14:paraId="5D557A4D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50CC65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GNR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6224FA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Gerência de Unidade de Negócios Regional</w:t>
            </w:r>
          </w:p>
        </w:tc>
      </w:tr>
      <w:tr w:rsidR="000E1456" w14:paraId="1E7DE4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41B94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B6CF84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Abastecimento de Água</w:t>
            </w:r>
          </w:p>
        </w:tc>
      </w:tr>
      <w:tr w:rsidR="000E1456" w14:paraId="66BC762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EA6B21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C0A00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Sistemas de Esgotamento Sanitário</w:t>
            </w:r>
          </w:p>
        </w:tc>
      </w:tr>
      <w:tr w:rsidR="000E1456" w14:paraId="2A2D29D8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70DA0D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10E1314E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do Abastecimento de Água</w:t>
            </w:r>
          </w:p>
        </w:tc>
      </w:tr>
      <w:tr w:rsidR="000E1456" w14:paraId="3FE88CCE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AB1944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BF4F85B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Coleta de Esgotos Sanitários</w:t>
            </w:r>
          </w:p>
        </w:tc>
      </w:tr>
      <w:tr w:rsidR="000E1456" w14:paraId="676BFE31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76E9B31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IUT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9449745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Universalização de Tratamento de Esgotos Sanitários</w:t>
            </w:r>
          </w:p>
        </w:tc>
      </w:tr>
      <w:tr w:rsidR="000E1456" w14:paraId="1941620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5038C9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ICA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4367C0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Abastecimento de Água</w:t>
            </w:r>
          </w:p>
        </w:tc>
      </w:tr>
      <w:tr w:rsidR="000E1456" w14:paraId="22BF55B7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7C5A6A9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33B786E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Cobertura de Esgotamento Sanitário</w:t>
            </w:r>
          </w:p>
        </w:tc>
      </w:tr>
      <w:tr w:rsidR="000E1456" w14:paraId="4F170A29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2148026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IPD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6290263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de Perdas na Distribuição</w:t>
            </w:r>
          </w:p>
        </w:tc>
      </w:tr>
      <w:tr w:rsidR="000E1456" w14:paraId="48D5BB0B" w14:textId="77777777">
        <w:trPr>
          <w:trHeight w:val="344"/>
        </w:trPr>
        <w:tc>
          <w:tcPr>
            <w:tcW w:w="80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41ED9C3D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IQAP</w:t>
            </w:r>
          </w:p>
        </w:tc>
        <w:tc>
          <w:tcPr>
            <w:tcW w:w="6290" w:type="dxa"/>
            <w:tcMar>
              <w:top w:w="-183" w:type="dxa"/>
              <w:left w:w="-183" w:type="dxa"/>
              <w:bottom w:w="-183" w:type="dxa"/>
              <w:right w:w="-183" w:type="dxa"/>
            </w:tcMar>
            <w:vAlign w:val="center"/>
          </w:tcPr>
          <w:p w14:paraId="538FA5B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Índice da Qualidade da Água Potável</w:t>
            </w:r>
          </w:p>
        </w:tc>
      </w:tr>
    </w:tbl>
    <w:p w14:paraId="4A75731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6CDB20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C3424A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76F715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5BD98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3B47EA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6BEDD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D901FC8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D200ADB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14D4D2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D96741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FF16249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A547DF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7202F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EE79B96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648A0A3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474A3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8F6A78D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9868CF5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9DA90CF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0F22E24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5E0E5D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FDEE70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552345C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6DAFA3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61DB67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ED9E51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DF4DEA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28E77B48" w14:textId="77777777" w:rsidR="006247D6" w:rsidRDefault="006247D6">
      <w:pPr>
        <w:spacing w:before="240" w:after="240" w:line="240" w:lineRule="auto"/>
        <w:rPr>
          <w:b/>
          <w:sz w:val="20"/>
          <w:szCs w:val="20"/>
        </w:rPr>
      </w:pPr>
    </w:p>
    <w:p w14:paraId="39D81CDC" w14:textId="77777777" w:rsidR="006247D6" w:rsidRDefault="006247D6">
      <w:pPr>
        <w:spacing w:before="240" w:after="240" w:line="240" w:lineRule="auto"/>
        <w:rPr>
          <w:b/>
          <w:sz w:val="20"/>
          <w:szCs w:val="20"/>
        </w:rPr>
      </w:pPr>
    </w:p>
    <w:p w14:paraId="1F54FFDF" w14:textId="77777777" w:rsidR="006247D6" w:rsidRDefault="006247D6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094DCCD9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</w:t>
      </w:r>
      <w:r w:rsidR="006247D6" w:rsidRPr="006247D6">
        <w:rPr>
          <w:sz w:val="20"/>
          <w:szCs w:val="20"/>
          <w:highlight w:val="yellow"/>
        </w:rPr>
        <w:t>com ações voltadas à fiscalização e avaliação do cumprimento das normas estabelecidas no Capítulo XXIV da Resolução nº 85/2019 – ARPE, que trata do atendimento aos usuários, entre outras normas correlatas como a NBR (Normas Brasileiras) nº 9050 como por exemplo. As atividades envolvem a verificação da existência e efetividade dos canais de atendimento, da qualidade das informações prestadas, do respeito aos prazos regulamentares e da adoção de práticas que promovam a transparência, a acessibilidade, a cordialidade e a resolutividade no relacionamento com os clientes.</w:t>
      </w:r>
    </w:p>
    <w:p w14:paraId="47CF70A2" w14:textId="5D5135C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 w:rsidR="006247D6" w:rsidRPr="006247D6">
        <w:rPr>
          <w:sz w:val="20"/>
          <w:szCs w:val="20"/>
          <w:highlight w:val="yellow"/>
        </w:rPr>
        <w:t>refletindo o compromisso da ARPE com a proteção dos direitos dos usuários, a melhoria contínua dos serviços prestados e o fortalecimento dos mecanismos de escuta e resposta às demandas da população. As determinações e recomendações contidas neste documento visam promover avanços concretos na qualidade do atendimento e alinhar a atuação da prestadora às diretrizes regulatórias vigentes.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29050AFF" w14:textId="71B6F0F3" w:rsidR="000E1456" w:rsidRDefault="006247D6">
      <w:pPr>
        <w:spacing w:before="240" w:after="240" w:line="240" w:lineRule="auto"/>
        <w:jc w:val="both"/>
        <w:rPr>
          <w:b/>
          <w:sz w:val="20"/>
          <w:szCs w:val="20"/>
        </w:rPr>
      </w:pPr>
      <w:r w:rsidRPr="006247D6">
        <w:rPr>
          <w:sz w:val="20"/>
          <w:szCs w:val="20"/>
        </w:rPr>
        <w:t xml:space="preserve">A fiscalização direta a </w:t>
      </w:r>
      <w:r w:rsidR="00233081" w:rsidRPr="00233081">
        <w:rPr>
          <w:color w:val="EE0000"/>
          <w:sz w:val="20"/>
          <w:szCs w:val="20"/>
        </w:rPr>
        <w:t xml:space="preserve">{{Unidade}} </w:t>
      </w:r>
      <w:r w:rsidRPr="006247D6"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 w:rsidRPr="006247D6">
        <w:rPr>
          <w:sz w:val="20"/>
          <w:szCs w:val="20"/>
        </w:rPr>
        <w:t>tem por objetivo verificar o grau de conformidade da prestação dos serviços de saneamento básico com os dispositivos previstos no capitulo XXIV da Resolução nº 85/2019 da ARPE, que regulam o atendimento aos usuários/clientes, com foco na qualidade, acessibilidade, resolutividade e transparência dos serviços prestados ao cidadão. Os objetivos específicos são:</w:t>
      </w:r>
    </w:p>
    <w:p w14:paraId="552FC715" w14:textId="77777777" w:rsidR="006247D6" w:rsidRPr="00362650" w:rsidRDefault="006247D6" w:rsidP="00362650">
      <w:pPr>
        <w:numPr>
          <w:ilvl w:val="0"/>
          <w:numId w:val="1"/>
        </w:numPr>
        <w:ind w:hanging="720"/>
        <w:jc w:val="both"/>
        <w:rPr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 xml:space="preserve">Conformidade Regulatória no Atendimento: </w:t>
      </w:r>
      <w:r w:rsidRPr="00362650">
        <w:rPr>
          <w:bCs/>
          <w:sz w:val="20"/>
          <w:szCs w:val="20"/>
          <w:highlight w:val="yellow"/>
        </w:rPr>
        <w:t>Verificar se a prestadora está cumprindo as obrigações legais e normativas referentes aos canais e formas de atendimento ao usuário, incluindo atendimento presencial, telefônico, eletrônico e por aplicativo, conforme os requisitos estabelecidos pela ARPE</w:t>
      </w:r>
      <w:r w:rsidRPr="00362650">
        <w:rPr>
          <w:bCs/>
          <w:sz w:val="20"/>
          <w:szCs w:val="20"/>
          <w:highlight w:val="yellow"/>
        </w:rPr>
        <w:t>.</w:t>
      </w:r>
    </w:p>
    <w:p w14:paraId="486D3330" w14:textId="77777777" w:rsidR="00362650" w:rsidRPr="00362650" w:rsidRDefault="006247D6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 xml:space="preserve">Acessibilidade e Disponibilidade: </w:t>
      </w:r>
      <w:r w:rsidRPr="00362650">
        <w:rPr>
          <w:bCs/>
          <w:sz w:val="20"/>
          <w:szCs w:val="20"/>
          <w:highlight w:val="yellow"/>
        </w:rPr>
        <w:t>Avaliar se os canais de atendimento estão acessíveis à população, com funcionamento adequado, abrangência compatível com a área de atuação da prestadora e cumprimento de horários e prazos previstos na regulamentação.</w:t>
      </w:r>
    </w:p>
    <w:p w14:paraId="2A380070" w14:textId="77777777" w:rsidR="00362650" w:rsidRPr="00362650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 xml:space="preserve">Gestão de Reclamações, Solicitações e Demandas: </w:t>
      </w:r>
      <w:r w:rsidRPr="00362650">
        <w:rPr>
          <w:bCs/>
          <w:sz w:val="20"/>
          <w:szCs w:val="20"/>
          <w:highlight w:val="yellow"/>
        </w:rPr>
        <w:t>Verificar a existência e funcionamento de sistemas de registro, acompanhamento e resolução de reclamações, sugestões e solicitações dos usuários, bem como o cumprimento dos prazos máximos para resposta, conforme previsto nos artigos 122 a 126 da resolução nº 85 da ARPE.</w:t>
      </w:r>
    </w:p>
    <w:p w14:paraId="66AE2F1D" w14:textId="77777777" w:rsidR="00362650" w:rsidRPr="00362650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>Transparência e Direito à Informação</w:t>
      </w:r>
      <w:r w:rsidRPr="00362650">
        <w:rPr>
          <w:bCs/>
          <w:sz w:val="20"/>
          <w:szCs w:val="20"/>
          <w:highlight w:val="yellow"/>
        </w:rPr>
        <w:t>:</w:t>
      </w:r>
      <w:r w:rsidRPr="00362650">
        <w:rPr>
          <w:bCs/>
          <w:sz w:val="20"/>
          <w:szCs w:val="20"/>
          <w:highlight w:val="yellow"/>
        </w:rPr>
        <w:t xml:space="preserve"> </w:t>
      </w:r>
      <w:r w:rsidRPr="00362650">
        <w:rPr>
          <w:bCs/>
          <w:sz w:val="20"/>
          <w:szCs w:val="20"/>
          <w:highlight w:val="yellow"/>
        </w:rPr>
        <w:t>Examinar se a prestadora divulga, de forma clara e acessível, os dados relativos à prestação dos serviços, tarifas, indicadores de desempenho, canais de atendimento e demais informações de interesse público.</w:t>
      </w:r>
      <w:r w:rsidRPr="00362650">
        <w:rPr>
          <w:bCs/>
          <w:sz w:val="20"/>
          <w:szCs w:val="20"/>
          <w:highlight w:val="yellow"/>
        </w:rPr>
        <w:t xml:space="preserve"> </w:t>
      </w:r>
    </w:p>
    <w:p w14:paraId="2688A38F" w14:textId="77777777" w:rsidR="00362650" w:rsidRPr="00362650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>Campanhas educativas e orientações quanto a prestação do serviço</w:t>
      </w:r>
      <w:r w:rsidRPr="00362650">
        <w:rPr>
          <w:bCs/>
          <w:sz w:val="20"/>
          <w:szCs w:val="20"/>
          <w:highlight w:val="yellow"/>
        </w:rPr>
        <w:t>:</w:t>
      </w:r>
      <w:r w:rsidRPr="00362650">
        <w:rPr>
          <w:bCs/>
          <w:sz w:val="20"/>
          <w:szCs w:val="20"/>
          <w:highlight w:val="yellow"/>
        </w:rPr>
        <w:t xml:space="preserve"> </w:t>
      </w:r>
      <w:r w:rsidRPr="00362650">
        <w:rPr>
          <w:bCs/>
          <w:sz w:val="20"/>
          <w:szCs w:val="20"/>
          <w:highlight w:val="yellow"/>
        </w:rPr>
        <w:t xml:space="preserve">Avaliar as ações desenvolvidas para informar o usuário/cliente </w:t>
      </w:r>
      <w:proofErr w:type="spellStart"/>
      <w:r w:rsidRPr="00362650">
        <w:rPr>
          <w:bCs/>
          <w:sz w:val="20"/>
          <w:szCs w:val="20"/>
          <w:highlight w:val="yellow"/>
        </w:rPr>
        <w:t>a cerca</w:t>
      </w:r>
      <w:proofErr w:type="spellEnd"/>
      <w:r w:rsidRPr="00362650">
        <w:rPr>
          <w:bCs/>
          <w:sz w:val="20"/>
          <w:szCs w:val="20"/>
          <w:highlight w:val="yellow"/>
        </w:rPr>
        <w:t xml:space="preserve"> </w:t>
      </w:r>
      <w:proofErr w:type="gramStart"/>
      <w:r w:rsidRPr="00362650">
        <w:rPr>
          <w:bCs/>
          <w:sz w:val="20"/>
          <w:szCs w:val="20"/>
          <w:highlight w:val="yellow"/>
        </w:rPr>
        <w:t>do seus direitos</w:t>
      </w:r>
      <w:proofErr w:type="gramEnd"/>
      <w:r w:rsidRPr="00362650">
        <w:rPr>
          <w:bCs/>
          <w:sz w:val="20"/>
          <w:szCs w:val="20"/>
          <w:highlight w:val="yellow"/>
        </w:rPr>
        <w:t xml:space="preserve"> e deveres, bem como </w:t>
      </w:r>
      <w:r w:rsidRPr="00362650">
        <w:rPr>
          <w:bCs/>
          <w:sz w:val="20"/>
          <w:szCs w:val="20"/>
          <w:highlight w:val="yellow"/>
        </w:rPr>
        <w:lastRenderedPageBreak/>
        <w:t>uso da água e demais instalações sanitárias, conforme preconiza o artigo 127 da resolução ARPE nº 85, como ferramenta para a melhoria contínua da prestação dos serviços.</w:t>
      </w:r>
    </w:p>
    <w:p w14:paraId="4ABB55A7" w14:textId="7DB319C6" w:rsidR="000E1456" w:rsidRPr="00362650" w:rsidRDefault="00362650" w:rsidP="00362650">
      <w:pPr>
        <w:numPr>
          <w:ilvl w:val="0"/>
          <w:numId w:val="1"/>
        </w:numPr>
        <w:ind w:hanging="720"/>
        <w:jc w:val="both"/>
        <w:rPr>
          <w:bCs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>Integração com a Ouvidoria da Prestadora e com a ARPE</w:t>
      </w:r>
      <w:r w:rsidRPr="00362650">
        <w:rPr>
          <w:bCs/>
          <w:sz w:val="20"/>
          <w:szCs w:val="20"/>
          <w:highlight w:val="yellow"/>
        </w:rPr>
        <w:t>:</w:t>
      </w:r>
      <w:r w:rsidRPr="00362650">
        <w:rPr>
          <w:bCs/>
          <w:sz w:val="20"/>
          <w:szCs w:val="20"/>
          <w:highlight w:val="yellow"/>
        </w:rPr>
        <w:t xml:space="preserve"> </w:t>
      </w:r>
      <w:r w:rsidRPr="00362650">
        <w:rPr>
          <w:bCs/>
          <w:sz w:val="20"/>
          <w:szCs w:val="20"/>
          <w:highlight w:val="yellow"/>
        </w:rPr>
        <w:t>Verificar a efetividade dos fluxos de encaminhamento de demandas não resolvidas aos canais de segunda instância (ouvidoria da prestadora) e à ARPE, quando necessário, assegurando a proteção dos direitos do usuário.</w:t>
      </w: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427C9E40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9"/>
        <w:gridCol w:w="6936"/>
      </w:tblGrid>
      <w:tr w:rsidR="000E1456" w14:paraId="275EC3CA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18C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3.1 DO TITULAR</w:t>
            </w:r>
          </w:p>
        </w:tc>
      </w:tr>
      <w:tr w:rsidR="000E1456" w14:paraId="2F5C4E6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D2C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Titular: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178D" w14:textId="5EAA2411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Microrregião de Água e Esgoto RMR-PAJEÚ</w:t>
            </w:r>
          </w:p>
        </w:tc>
      </w:tr>
      <w:tr w:rsidR="000E1456" w14:paraId="44FF753C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2AE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BE9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Avenida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7C40DC7C" w14:textId="77777777">
        <w:trPr>
          <w:trHeight w:val="559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4921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31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Artur Paiva Coutinho</w:t>
            </w:r>
          </w:p>
        </w:tc>
      </w:tr>
      <w:tr w:rsidR="000E1456" w14:paraId="790F7E2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4C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Município: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1B77" w14:textId="77777777" w:rsidR="000E1456" w:rsidRDefault="00000000">
            <w:pPr>
              <w:spacing w:before="240" w:after="240" w:line="240" w:lineRule="auto"/>
              <w:jc w:val="both"/>
              <w:rPr>
                <w:sz w:val="20"/>
                <w:szCs w:val="20"/>
                <w:highlight w:val="yellow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Municipio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2AC63CF9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2A1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3.2 DO REGULADO</w:t>
            </w:r>
          </w:p>
        </w:tc>
      </w:tr>
      <w:tr w:rsidR="000E1456" w14:paraId="5F3776C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F207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Regulado: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BAA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Companhia Pernambucana de Saneamento - Compesa</w:t>
            </w:r>
          </w:p>
        </w:tc>
      </w:tr>
      <w:tr w:rsidR="000E1456" w14:paraId="38DBE3D9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48F8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02B7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Alex Machado Campos</w:t>
            </w:r>
          </w:p>
        </w:tc>
      </w:tr>
      <w:tr w:rsidR="000E1456" w14:paraId="0908402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CC9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8CF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Av. Cruz </w:t>
            </w:r>
            <w:proofErr w:type="spellStart"/>
            <w:r>
              <w:rPr>
                <w:sz w:val="20"/>
                <w:szCs w:val="20"/>
              </w:rPr>
              <w:t>Cabugá</w:t>
            </w:r>
            <w:proofErr w:type="spellEnd"/>
            <w:r>
              <w:rPr>
                <w:sz w:val="20"/>
                <w:szCs w:val="20"/>
              </w:rPr>
              <w:t>, 1387 - Santo Amaro - Recife, PE - CEP: 50040-905</w:t>
            </w:r>
          </w:p>
        </w:tc>
      </w:tr>
      <w:tr w:rsidR="000E1456" w14:paraId="495E758F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DF6D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Representantes por acompanhar: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52879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  <w:shd w:val="clear" w:color="auto" w:fill="F1C40F"/>
              </w:rPr>
            </w:pPr>
            <w:r>
              <w:rPr>
                <w:sz w:val="20"/>
                <w:szCs w:val="20"/>
                <w:shd w:val="clear" w:color="auto" w:fill="F1C40F"/>
              </w:rPr>
              <w:t>XXXXX</w:t>
            </w:r>
          </w:p>
        </w:tc>
      </w:tr>
      <w:tr w:rsidR="000E1456" w14:paraId="31490CD2" w14:textId="77777777">
        <w:trPr>
          <w:trHeight w:val="500"/>
        </w:trPr>
        <w:tc>
          <w:tcPr>
            <w:tcW w:w="90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D35A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3.3 DO REGULADOR</w:t>
            </w:r>
          </w:p>
        </w:tc>
      </w:tr>
      <w:tr w:rsidR="000E1456" w14:paraId="576820A4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A80F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Regulador: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242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Regulação de Pernambuco</w:t>
            </w:r>
          </w:p>
        </w:tc>
      </w:tr>
      <w:tr w:rsidR="000E1456" w14:paraId="42A93A22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9D2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Diretor Presidente: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99C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Porto Filho</w:t>
            </w:r>
          </w:p>
        </w:tc>
      </w:tr>
      <w:tr w:rsidR="000E1456" w14:paraId="351569A1" w14:textId="77777777">
        <w:trPr>
          <w:trHeight w:val="785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CF4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Endereço: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EE5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Avenida Conselheiro Rosa e Silva, 975, Aflitos, Recife/PE, CEP: 52.050-020. Estacionamento: Rua do Futuro, 150, Aflitos, Recife/PE.</w:t>
            </w:r>
          </w:p>
        </w:tc>
      </w:tr>
      <w:tr w:rsidR="000E1456" w14:paraId="66D2B69F" w14:textId="77777777">
        <w:trPr>
          <w:trHeight w:val="933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2028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Responsáveis pela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849C4" w14:textId="77777777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{{Analista 1}}</w:t>
            </w:r>
            <w:r>
              <w:rPr>
                <w:sz w:val="20"/>
                <w:szCs w:val="20"/>
              </w:rPr>
              <w:t xml:space="preserve"> e </w:t>
            </w:r>
            <w:r>
              <w:rPr>
                <w:color w:val="FF0000"/>
                <w:sz w:val="20"/>
                <w:szCs w:val="20"/>
              </w:rPr>
              <w:t>{{Analista 2}}</w:t>
            </w:r>
          </w:p>
        </w:tc>
      </w:tr>
      <w:tr w:rsidR="000E1456" w14:paraId="5D5185BD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EA79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Período da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3EF57" w14:textId="76389688" w:rsidR="000E1456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{{</w:t>
            </w:r>
            <w:proofErr w:type="spellStart"/>
            <w:r>
              <w:rPr>
                <w:color w:val="FF0000"/>
                <w:sz w:val="20"/>
                <w:szCs w:val="20"/>
              </w:rPr>
              <w:t>Periodo</w:t>
            </w:r>
            <w:proofErr w:type="spellEnd"/>
            <w:r>
              <w:rPr>
                <w:color w:val="FF0000"/>
                <w:sz w:val="20"/>
                <w:szCs w:val="20"/>
              </w:rPr>
              <w:t>}}</w:t>
            </w:r>
          </w:p>
        </w:tc>
      </w:tr>
      <w:tr w:rsidR="000E1456" w14:paraId="57813807" w14:textId="77777777">
        <w:trPr>
          <w:trHeight w:val="500"/>
        </w:trPr>
        <w:tc>
          <w:tcPr>
            <w:tcW w:w="2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9926" w14:textId="77777777" w:rsidR="000E1456" w:rsidRDefault="00000000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Fiscalização:</w:t>
            </w:r>
          </w:p>
        </w:tc>
        <w:tc>
          <w:tcPr>
            <w:tcW w:w="6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97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Direta e periódica.</w:t>
            </w:r>
          </w:p>
        </w:tc>
      </w:tr>
    </w:tbl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3C2D2288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</w:t>
      </w:r>
      <w:r w:rsidR="00233081">
        <w:rPr>
          <w:sz w:val="20"/>
          <w:szCs w:val="20"/>
        </w:rPr>
        <w:t xml:space="preserve">da </w:t>
      </w:r>
      <w:r w:rsidR="00233081" w:rsidRPr="00233081">
        <w:rPr>
          <w:color w:val="EE0000"/>
          <w:sz w:val="20"/>
          <w:szCs w:val="20"/>
        </w:rPr>
        <w:t xml:space="preserve">{{Unidade}}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8775223" w14:textId="77777777" w:rsidR="00362650" w:rsidRPr="00362650" w:rsidRDefault="0036265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 xml:space="preserve">Preparação e Planejamento - </w:t>
      </w:r>
      <w:r w:rsidRPr="00362650">
        <w:rPr>
          <w:bCs/>
          <w:sz w:val="20"/>
          <w:szCs w:val="20"/>
          <w:highlight w:val="yellow"/>
        </w:rPr>
        <w:t>compreende a organização e estruturação das atividades preliminares a execução da fiscalização. A etapa contou com a montagem da fiscalização com base na legislação vigente e na elaboração de os instrumentos de verificação e checklists baseadas na Resolução nº 85/2019.</w:t>
      </w:r>
    </w:p>
    <w:p w14:paraId="24B4EE20" w14:textId="77777777" w:rsidR="00362650" w:rsidRPr="00362650" w:rsidRDefault="0036265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  <w:highlight w:val="yellow"/>
        </w:rPr>
      </w:pPr>
      <w:r w:rsidRPr="00362650">
        <w:rPr>
          <w:b/>
          <w:sz w:val="20"/>
          <w:szCs w:val="20"/>
          <w:highlight w:val="yellow"/>
        </w:rPr>
        <w:t>E</w:t>
      </w:r>
      <w:r w:rsidRPr="00362650">
        <w:rPr>
          <w:b/>
          <w:sz w:val="20"/>
          <w:szCs w:val="20"/>
          <w:highlight w:val="yellow"/>
        </w:rPr>
        <w:t xml:space="preserve">xecução da Fiscalização - </w:t>
      </w:r>
      <w:r w:rsidRPr="00362650">
        <w:rPr>
          <w:bCs/>
          <w:sz w:val="20"/>
          <w:szCs w:val="20"/>
          <w:highlight w:val="yellow"/>
        </w:rPr>
        <w:t>Durante a execução in loco, a equipe técnica realizou entrevistas com usuários, testou os canais de atendimento disponíveis (presencial, telefônico, eletrônico e aplicativo), verificou a existência e o funcionamento de sistemas de registro e resposta às demandas dos usuários, e avaliou a conformidade dos pontos físicos de atendimento quanto à acessibilidade, horários de funcionamento e qualidade do atendimento prestado.</w:t>
      </w:r>
    </w:p>
    <w:p w14:paraId="11C32C71" w14:textId="179E0866" w:rsidR="000E1456" w:rsidRPr="00362650" w:rsidRDefault="00000000" w:rsidP="00362650">
      <w:pPr>
        <w:pStyle w:val="PargrafodaLista"/>
        <w:numPr>
          <w:ilvl w:val="0"/>
          <w:numId w:val="5"/>
        </w:numPr>
        <w:rPr>
          <w:b/>
          <w:sz w:val="20"/>
          <w:szCs w:val="20"/>
        </w:rPr>
      </w:pPr>
      <w:r w:rsidRPr="00362650">
        <w:rPr>
          <w:b/>
          <w:sz w:val="20"/>
          <w:szCs w:val="20"/>
        </w:rPr>
        <w:t>Monitoramento e Avaliação</w:t>
      </w:r>
      <w:r w:rsidRPr="00362650"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82BFC5D" w14:textId="4542B3D9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 xml:space="preserve">, esta é uma etapa preliminar da execução da fiscalização, onde foram desenvolvidas as seguintes ações: </w:t>
      </w:r>
      <w:r w:rsidR="00362650" w:rsidRPr="00362650">
        <w:rPr>
          <w:sz w:val="20"/>
          <w:szCs w:val="20"/>
          <w:highlight w:val="yellow"/>
        </w:rPr>
        <w:t>Análise dos tópicos referendados pela legislação e montagem de um checklist on-line em forma de pesquisa. Considerando que o aviso prévio poderia permitir alteração na rotina de atendimento para aparentar maior conformidade e esconder eventuais irregularidades no atendimento ao público, não houve a Solicitação de Documentação Prévia.</w:t>
      </w:r>
    </w:p>
    <w:p w14:paraId="6121A0B6" w14:textId="77777777" w:rsidR="00B727B7" w:rsidRDefault="00B727B7" w:rsidP="00B727B7">
      <w:pPr>
        <w:spacing w:line="240" w:lineRule="auto"/>
        <w:rPr>
          <w:sz w:val="20"/>
          <w:szCs w:val="20"/>
        </w:rPr>
      </w:pPr>
    </w:p>
    <w:p w14:paraId="25817405" w14:textId="7F0C7E6D" w:rsidR="00780C06" w:rsidRDefault="00780C06" w:rsidP="00780C06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ab/>
      </w:r>
      <w:r w:rsidRPr="00780C06">
        <w:rPr>
          <w:b/>
          <w:sz w:val="20"/>
          <w:szCs w:val="20"/>
        </w:rPr>
        <w:t>Execução da Fiscalização</w:t>
      </w:r>
    </w:p>
    <w:p w14:paraId="62F2B5A3" w14:textId="1FB7FF45" w:rsidR="00780C06" w:rsidRPr="00B727B7" w:rsidRDefault="00780C06" w:rsidP="00780C06">
      <w:pPr>
        <w:spacing w:before="240" w:after="240" w:line="240" w:lineRule="auto"/>
        <w:jc w:val="both"/>
        <w:rPr>
          <w:sz w:val="20"/>
          <w:szCs w:val="20"/>
        </w:rPr>
      </w:pPr>
      <w:r w:rsidRPr="00780C06">
        <w:rPr>
          <w:sz w:val="20"/>
          <w:szCs w:val="20"/>
        </w:rPr>
        <w:t xml:space="preserve">No período de </w:t>
      </w:r>
      <w:r w:rsidRPr="00780C06">
        <w:rPr>
          <w:color w:val="EE0000"/>
          <w:sz w:val="20"/>
          <w:szCs w:val="20"/>
        </w:rPr>
        <w:t>{{</w:t>
      </w:r>
      <w:proofErr w:type="spellStart"/>
      <w:r w:rsidRPr="00780C06">
        <w:rPr>
          <w:color w:val="EE0000"/>
          <w:sz w:val="20"/>
          <w:szCs w:val="20"/>
        </w:rPr>
        <w:t>Periodo</w:t>
      </w:r>
      <w:proofErr w:type="spellEnd"/>
      <w:r w:rsidRPr="00780C06">
        <w:rPr>
          <w:color w:val="EE0000"/>
          <w:sz w:val="20"/>
          <w:szCs w:val="20"/>
        </w:rPr>
        <w:t>}}</w:t>
      </w:r>
      <w:r w:rsidRPr="00780C06">
        <w:rPr>
          <w:sz w:val="20"/>
          <w:szCs w:val="20"/>
        </w:rPr>
        <w:t xml:space="preserve">, o analista </w:t>
      </w:r>
      <w:r w:rsidRPr="00780C06">
        <w:rPr>
          <w:color w:val="EE0000"/>
          <w:sz w:val="20"/>
          <w:szCs w:val="20"/>
        </w:rPr>
        <w:t>{</w:t>
      </w:r>
      <w:proofErr w:type="gramStart"/>
      <w:r w:rsidRPr="00780C06">
        <w:rPr>
          <w:color w:val="EE0000"/>
          <w:sz w:val="20"/>
          <w:szCs w:val="20"/>
        </w:rPr>
        <w:t>{</w:t>
      </w:r>
      <w:r>
        <w:rPr>
          <w:color w:val="EE0000"/>
          <w:sz w:val="20"/>
          <w:szCs w:val="20"/>
        </w:rPr>
        <w:t>Analista</w:t>
      </w:r>
      <w:proofErr w:type="gramEnd"/>
      <w:r w:rsidRPr="00780C06">
        <w:rPr>
          <w:color w:val="EE0000"/>
          <w:sz w:val="20"/>
          <w:szCs w:val="20"/>
        </w:rPr>
        <w:t>}}</w:t>
      </w:r>
      <w:r w:rsidRPr="00780C06">
        <w:rPr>
          <w:sz w:val="20"/>
          <w:szCs w:val="20"/>
        </w:rPr>
        <w:t xml:space="preserve">, executou a fiscalização periódica direta na </w:t>
      </w:r>
      <w:r w:rsidRPr="00780C06">
        <w:rPr>
          <w:color w:val="EE0000"/>
          <w:sz w:val="20"/>
          <w:szCs w:val="20"/>
        </w:rPr>
        <w:t>{{Unidade}}</w:t>
      </w:r>
      <w:r>
        <w:rPr>
          <w:sz w:val="20"/>
          <w:szCs w:val="20"/>
        </w:rPr>
        <w:t xml:space="preserve"> </w:t>
      </w:r>
      <w:r w:rsidRPr="00780C06">
        <w:rPr>
          <w:sz w:val="20"/>
          <w:szCs w:val="20"/>
        </w:rPr>
        <w:t xml:space="preserve">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80C06">
        <w:rPr>
          <w:sz w:val="20"/>
          <w:szCs w:val="20"/>
        </w:rPr>
        <w:t>As Não Conformidades constatadas in loco estão relacionadas na Tabela 1 e os seus registros fotográficos estão no Apêndice</w:t>
      </w:r>
      <w:r>
        <w:rPr>
          <w:sz w:val="20"/>
          <w:szCs w:val="20"/>
        </w:rPr>
        <w:t xml:space="preserve"> 1.</w:t>
      </w:r>
    </w:p>
    <w:p w14:paraId="2D2C9A43" w14:textId="25F3A8DF" w:rsidR="000E1456" w:rsidRDefault="00000000" w:rsidP="00413476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Tabela </w:t>
      </w:r>
      <w:r w:rsidR="00413476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 w:rsidR="00413476">
        <w:rPr>
          <w:sz w:val="20"/>
          <w:szCs w:val="20"/>
        </w:rPr>
        <w:t xml:space="preserve"> da</w:t>
      </w:r>
      <w:r>
        <w:rPr>
          <w:sz w:val="20"/>
          <w:szCs w:val="20"/>
        </w:rPr>
        <w:t xml:space="preserve"> </w:t>
      </w:r>
      <w:r w:rsidR="00413476" w:rsidRPr="00413476">
        <w:rPr>
          <w:color w:val="EE0000"/>
          <w:sz w:val="20"/>
          <w:szCs w:val="20"/>
        </w:rPr>
        <w:t>{{Unidade}}</w:t>
      </w:r>
      <w:r w:rsidRPr="00413476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424FC975" w14:textId="77777777" w:rsidR="00413476" w:rsidRDefault="00413476" w:rsidP="00413476">
      <w:pPr>
        <w:spacing w:before="240" w:after="240" w:line="240" w:lineRule="auto"/>
        <w:rPr>
          <w:sz w:val="20"/>
          <w:szCs w:val="20"/>
        </w:rPr>
      </w:pPr>
    </w:p>
    <w:p w14:paraId="25C75A86" w14:textId="05C06E30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a)</w:t>
      </w:r>
      <w:r w:rsidRPr="00413476">
        <w:rPr>
          <w:sz w:val="20"/>
          <w:szCs w:val="20"/>
        </w:rPr>
        <w:tab/>
        <w:t>Dimensionamento da Equipe e Tempos de Atendimento</w:t>
      </w:r>
    </w:p>
    <w:p w14:paraId="50F95E53" w14:textId="77777777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</w:p>
    <w:p w14:paraId="09A46701" w14:textId="1DDFB8AE" w:rsidR="00413476" w:rsidRPr="00413476" w:rsidRDefault="00413476" w:rsidP="00413476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 xml:space="preserve">Durante o mês de maio de 2025, foram registrados </w:t>
      </w:r>
      <w:r w:rsidRPr="00413476">
        <w:rPr>
          <w:color w:val="EE0000"/>
          <w:sz w:val="20"/>
          <w:szCs w:val="20"/>
        </w:rPr>
        <w:t>{{Atendimentos}}</w:t>
      </w:r>
      <w:r w:rsidRPr="00413476">
        <w:rPr>
          <w:sz w:val="20"/>
          <w:szCs w:val="20"/>
        </w:rPr>
        <w:t xml:space="preserve"> atendimentos na </w:t>
      </w:r>
      <w:r w:rsidR="007378E4" w:rsidRPr="007378E4">
        <w:rPr>
          <w:color w:val="EE0000"/>
          <w:sz w:val="20"/>
          <w:szCs w:val="20"/>
        </w:rPr>
        <w:t xml:space="preserve">{{Unidade}} </w:t>
      </w:r>
      <w:r w:rsidRPr="00413476">
        <w:rPr>
          <w:sz w:val="20"/>
          <w:szCs w:val="20"/>
        </w:rPr>
        <w:t xml:space="preserve">em </w:t>
      </w:r>
      <w:r w:rsidRPr="00413476">
        <w:rPr>
          <w:color w:val="EE0000"/>
          <w:sz w:val="20"/>
          <w:szCs w:val="20"/>
        </w:rPr>
        <w:t>{{</w:t>
      </w:r>
      <w:proofErr w:type="spellStart"/>
      <w:r w:rsidRPr="00413476">
        <w:rPr>
          <w:color w:val="EE0000"/>
          <w:sz w:val="20"/>
          <w:szCs w:val="20"/>
        </w:rPr>
        <w:t>Municipio</w:t>
      </w:r>
      <w:proofErr w:type="spellEnd"/>
      <w:r w:rsidRPr="00413476">
        <w:rPr>
          <w:color w:val="EE0000"/>
          <w:sz w:val="20"/>
          <w:szCs w:val="20"/>
        </w:rPr>
        <w:t>}}</w:t>
      </w:r>
      <w:r w:rsidRPr="00413476">
        <w:rPr>
          <w:color w:val="EE0000"/>
          <w:sz w:val="20"/>
          <w:szCs w:val="20"/>
        </w:rPr>
        <w:t xml:space="preserve"> </w:t>
      </w:r>
      <w:r w:rsidRPr="00413476">
        <w:rPr>
          <w:sz w:val="20"/>
          <w:szCs w:val="20"/>
        </w:rPr>
        <w:t xml:space="preserve">(Doc. SEI nº </w:t>
      </w:r>
      <w:r w:rsidRPr="00413476">
        <w:rPr>
          <w:color w:val="EE0000"/>
          <w:sz w:val="20"/>
          <w:szCs w:val="20"/>
        </w:rPr>
        <w:t>68926695</w:t>
      </w:r>
      <w:r w:rsidRPr="00413476">
        <w:rPr>
          <w:sz w:val="20"/>
          <w:szCs w:val="20"/>
        </w:rPr>
        <w:t xml:space="preserve">). Desse total, </w:t>
      </w:r>
      <w:r w:rsidRPr="00413476">
        <w:rPr>
          <w:color w:val="EE0000"/>
          <w:sz w:val="20"/>
          <w:szCs w:val="20"/>
        </w:rPr>
        <w:t>{{Atendimentos F/ Prazo}}</w:t>
      </w:r>
      <w:r w:rsidRPr="00413476">
        <w:rPr>
          <w:color w:val="EE0000"/>
          <w:sz w:val="20"/>
          <w:szCs w:val="20"/>
        </w:rPr>
        <w:t xml:space="preserve"> </w:t>
      </w:r>
      <w:r w:rsidRPr="00413476">
        <w:rPr>
          <w:sz w:val="20"/>
          <w:szCs w:val="20"/>
        </w:rPr>
        <w:t>atendimentos (</w:t>
      </w:r>
      <w:r w:rsidRPr="00413476">
        <w:rPr>
          <w:color w:val="EE0000"/>
          <w:sz w:val="20"/>
          <w:szCs w:val="20"/>
        </w:rPr>
        <w:t>22,17%</w:t>
      </w:r>
      <w:r w:rsidRPr="00413476">
        <w:rPr>
          <w:sz w:val="20"/>
          <w:szCs w:val="20"/>
        </w:rPr>
        <w:t>) foram concluídos fora do prazo regulamentar, conforme demonstrado na tabela 2 abaixo:</w:t>
      </w:r>
    </w:p>
    <w:p w14:paraId="03104478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  <w:r w:rsidRPr="00413476">
        <w:rPr>
          <w:b/>
          <w:bCs/>
          <w:sz w:val="20"/>
          <w:szCs w:val="20"/>
        </w:rPr>
        <w:t>Tabela 2</w:t>
      </w:r>
      <w:r w:rsidRPr="00413476">
        <w:rPr>
          <w:sz w:val="20"/>
          <w:szCs w:val="20"/>
        </w:rPr>
        <w:t xml:space="preserve"> - Quantidade de atendimentos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13476" w:rsidRPr="00413476" w14:paraId="0BC626E9" w14:textId="77777777">
        <w:tc>
          <w:tcPr>
            <w:tcW w:w="3006" w:type="dxa"/>
          </w:tcPr>
          <w:p w14:paraId="5AC8D372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Situação do Atendimento</w:t>
            </w:r>
          </w:p>
        </w:tc>
        <w:tc>
          <w:tcPr>
            <w:tcW w:w="3006" w:type="dxa"/>
          </w:tcPr>
          <w:p w14:paraId="6564AD8E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Quantidade</w:t>
            </w:r>
          </w:p>
        </w:tc>
        <w:tc>
          <w:tcPr>
            <w:tcW w:w="3007" w:type="dxa"/>
          </w:tcPr>
          <w:p w14:paraId="62630510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Percentual (%)</w:t>
            </w:r>
          </w:p>
        </w:tc>
      </w:tr>
      <w:tr w:rsidR="00413476" w:rsidRPr="00413476" w14:paraId="2EB4F4B5" w14:textId="77777777">
        <w:tc>
          <w:tcPr>
            <w:tcW w:w="3006" w:type="dxa"/>
          </w:tcPr>
          <w:p w14:paraId="4BCF61EE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No prazo</w:t>
            </w:r>
          </w:p>
        </w:tc>
        <w:tc>
          <w:tcPr>
            <w:tcW w:w="3006" w:type="dxa"/>
          </w:tcPr>
          <w:p w14:paraId="6DECC485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1.157</w:t>
            </w:r>
          </w:p>
        </w:tc>
        <w:tc>
          <w:tcPr>
            <w:tcW w:w="3007" w:type="dxa"/>
          </w:tcPr>
          <w:p w14:paraId="2F3C1316" w14:textId="77777777" w:rsidR="00413476" w:rsidRPr="00634BF7" w:rsidRDefault="00413476" w:rsidP="0064186A">
            <w:pPr>
              <w:spacing w:before="240" w:after="240"/>
              <w:jc w:val="center"/>
              <w:rPr>
                <w:color w:val="EE0000"/>
                <w:sz w:val="20"/>
                <w:szCs w:val="20"/>
              </w:rPr>
            </w:pPr>
            <w:r w:rsidRPr="00634BF7">
              <w:rPr>
                <w:color w:val="EE0000"/>
                <w:sz w:val="20"/>
                <w:szCs w:val="20"/>
              </w:rPr>
              <w:t>77,83%</w:t>
            </w:r>
          </w:p>
        </w:tc>
      </w:tr>
      <w:tr w:rsidR="00413476" w:rsidRPr="00413476" w14:paraId="412176A6" w14:textId="77777777">
        <w:tc>
          <w:tcPr>
            <w:tcW w:w="3006" w:type="dxa"/>
          </w:tcPr>
          <w:p w14:paraId="6F1C82B1" w14:textId="77777777" w:rsidR="00413476" w:rsidRPr="00413476" w:rsidRDefault="00413476" w:rsidP="00413476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Fora do prazo</w:t>
            </w:r>
          </w:p>
        </w:tc>
        <w:tc>
          <w:tcPr>
            <w:tcW w:w="3006" w:type="dxa"/>
          </w:tcPr>
          <w:p w14:paraId="33CEB052" w14:textId="583C215D" w:rsidR="00413476" w:rsidRPr="00413476" w:rsidRDefault="00413476" w:rsidP="00413476">
            <w:pPr>
              <w:spacing w:before="240" w:after="240"/>
              <w:jc w:val="center"/>
              <w:rPr>
                <w:color w:val="EE0000"/>
                <w:sz w:val="20"/>
                <w:szCs w:val="20"/>
              </w:rPr>
            </w:pPr>
            <w:r w:rsidRPr="00413476">
              <w:rPr>
                <w:color w:val="EE0000"/>
                <w:sz w:val="20"/>
                <w:szCs w:val="20"/>
              </w:rPr>
              <w:t>{{Atendimentos F/ Prazo}}</w:t>
            </w:r>
          </w:p>
        </w:tc>
        <w:tc>
          <w:tcPr>
            <w:tcW w:w="3007" w:type="dxa"/>
          </w:tcPr>
          <w:p w14:paraId="1B4F028C" w14:textId="77777777" w:rsidR="00413476" w:rsidRPr="00413476" w:rsidRDefault="00413476" w:rsidP="00413476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color w:val="EE0000"/>
                <w:sz w:val="20"/>
                <w:szCs w:val="20"/>
              </w:rPr>
              <w:t>22,17%</w:t>
            </w:r>
          </w:p>
        </w:tc>
      </w:tr>
      <w:tr w:rsidR="00413476" w:rsidRPr="00413476" w14:paraId="7555C675" w14:textId="77777777">
        <w:tc>
          <w:tcPr>
            <w:tcW w:w="3006" w:type="dxa"/>
          </w:tcPr>
          <w:p w14:paraId="3BD18437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Total</w:t>
            </w:r>
          </w:p>
        </w:tc>
        <w:tc>
          <w:tcPr>
            <w:tcW w:w="3006" w:type="dxa"/>
          </w:tcPr>
          <w:p w14:paraId="6FC9F783" w14:textId="44FB8BC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color w:val="EE0000"/>
                <w:sz w:val="20"/>
                <w:szCs w:val="20"/>
              </w:rPr>
              <w:t>{{Atendimentos}}</w:t>
            </w:r>
          </w:p>
        </w:tc>
        <w:tc>
          <w:tcPr>
            <w:tcW w:w="3007" w:type="dxa"/>
          </w:tcPr>
          <w:p w14:paraId="32294C02" w14:textId="77777777" w:rsidR="00413476" w:rsidRPr="00413476" w:rsidRDefault="00413476" w:rsidP="0064186A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413476">
              <w:rPr>
                <w:sz w:val="20"/>
                <w:szCs w:val="20"/>
              </w:rPr>
              <w:t>100,0%</w:t>
            </w:r>
          </w:p>
        </w:tc>
      </w:tr>
    </w:tbl>
    <w:p w14:paraId="5B8D41F3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65EC36ED" w14:textId="1B5028D7" w:rsidR="00413476" w:rsidRPr="00413476" w:rsidRDefault="00413476" w:rsidP="00413476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lastRenderedPageBreak/>
        <w:t>Essa proporção significativa de atendimentos fora do prazo pode indicar falhas no planejamento operacional ou</w:t>
      </w:r>
      <w:r>
        <w:rPr>
          <w:sz w:val="20"/>
          <w:szCs w:val="20"/>
        </w:rPr>
        <w:t xml:space="preserve"> </w:t>
      </w:r>
      <w:r w:rsidRPr="00413476">
        <w:rPr>
          <w:sz w:val="20"/>
          <w:szCs w:val="20"/>
        </w:rPr>
        <w:t>subdimensionamento do quadro de pessoal alocado à unidade.</w:t>
      </w:r>
    </w:p>
    <w:p w14:paraId="32040AC6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601E1E40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265920D9" w14:textId="6D3B8AA8" w:rsidR="00413476" w:rsidRPr="00413476" w:rsidRDefault="00413476" w:rsidP="00413476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b)</w:t>
      </w:r>
      <w:r w:rsidRPr="00413476">
        <w:rPr>
          <w:sz w:val="20"/>
          <w:szCs w:val="20"/>
        </w:rPr>
        <w:tab/>
      </w:r>
      <w:r w:rsidRPr="00441612">
        <w:rPr>
          <w:b/>
          <w:bCs/>
          <w:sz w:val="20"/>
          <w:szCs w:val="20"/>
        </w:rPr>
        <w:t>Principais Causas do Descumprimento de Prazos</w:t>
      </w:r>
    </w:p>
    <w:p w14:paraId="444DF169" w14:textId="77777777" w:rsidR="00413476" w:rsidRPr="00413476" w:rsidRDefault="00413476" w:rsidP="00413476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Entre os atendimentos classificados como "fora do prazo", os principais motivos de encerramento registrados foram:</w:t>
      </w:r>
    </w:p>
    <w:p w14:paraId="2BBB4746" w14:textId="77777777" w:rsidR="00413476" w:rsidRPr="00413476" w:rsidRDefault="00413476" w:rsidP="00DE2554">
      <w:pPr>
        <w:spacing w:before="240" w:after="240" w:line="240" w:lineRule="auto"/>
        <w:rPr>
          <w:sz w:val="20"/>
          <w:szCs w:val="20"/>
        </w:rPr>
      </w:pPr>
    </w:p>
    <w:p w14:paraId="4AAA2112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  <w:r w:rsidRPr="00413476">
        <w:rPr>
          <w:b/>
          <w:bCs/>
          <w:sz w:val="20"/>
          <w:szCs w:val="20"/>
        </w:rPr>
        <w:t>Tabela 3</w:t>
      </w:r>
      <w:r w:rsidRPr="00413476">
        <w:rPr>
          <w:sz w:val="20"/>
          <w:szCs w:val="20"/>
        </w:rPr>
        <w:t xml:space="preserve"> - Motivo do encerramento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E2554" w:rsidRPr="00DE2554" w14:paraId="02EBD117" w14:textId="77777777">
        <w:tc>
          <w:tcPr>
            <w:tcW w:w="4509" w:type="dxa"/>
          </w:tcPr>
          <w:p w14:paraId="74335905" w14:textId="77777777" w:rsidR="00DE2554" w:rsidRPr="00DE2554" w:rsidRDefault="00DE2554" w:rsidP="00F97DF8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DE2554">
              <w:rPr>
                <w:b/>
                <w:bCs/>
                <w:sz w:val="20"/>
                <w:szCs w:val="20"/>
              </w:rPr>
              <w:t>Motivo do Encerramento</w:t>
            </w:r>
          </w:p>
        </w:tc>
        <w:tc>
          <w:tcPr>
            <w:tcW w:w="4510" w:type="dxa"/>
          </w:tcPr>
          <w:p w14:paraId="70EB0355" w14:textId="77777777" w:rsidR="00DE2554" w:rsidRPr="00DE2554" w:rsidRDefault="00DE2554" w:rsidP="00F97DF8">
            <w:pPr>
              <w:spacing w:before="240" w:after="240"/>
              <w:jc w:val="center"/>
              <w:rPr>
                <w:b/>
                <w:bCs/>
                <w:sz w:val="20"/>
                <w:szCs w:val="20"/>
              </w:rPr>
            </w:pPr>
            <w:r w:rsidRPr="00DE2554">
              <w:rPr>
                <w:b/>
                <w:bCs/>
                <w:sz w:val="20"/>
                <w:szCs w:val="20"/>
              </w:rPr>
              <w:t>Quantidade</w:t>
            </w:r>
          </w:p>
        </w:tc>
      </w:tr>
      <w:tr w:rsidR="00DE2554" w:rsidRPr="00DE2554" w14:paraId="5621C0CB" w14:textId="77777777">
        <w:tc>
          <w:tcPr>
            <w:tcW w:w="4509" w:type="dxa"/>
          </w:tcPr>
          <w:p w14:paraId="2BC1008D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Não especificado ("-")</w:t>
            </w:r>
          </w:p>
        </w:tc>
        <w:tc>
          <w:tcPr>
            <w:tcW w:w="4510" w:type="dxa"/>
          </w:tcPr>
          <w:p w14:paraId="263EE69C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213</w:t>
            </w:r>
          </w:p>
        </w:tc>
      </w:tr>
      <w:tr w:rsidR="00DE2554" w:rsidRPr="00DE2554" w14:paraId="7DC13945" w14:textId="77777777">
        <w:tc>
          <w:tcPr>
            <w:tcW w:w="4509" w:type="dxa"/>
          </w:tcPr>
          <w:p w14:paraId="67EE0895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Conclusão do serviço</w:t>
            </w:r>
          </w:p>
        </w:tc>
        <w:tc>
          <w:tcPr>
            <w:tcW w:w="4510" w:type="dxa"/>
          </w:tcPr>
          <w:p w14:paraId="31CC17FE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78</w:t>
            </w:r>
          </w:p>
        </w:tc>
      </w:tr>
      <w:tr w:rsidR="00DE2554" w:rsidRPr="00DE2554" w14:paraId="12BFBD35" w14:textId="77777777">
        <w:tc>
          <w:tcPr>
            <w:tcW w:w="4509" w:type="dxa"/>
          </w:tcPr>
          <w:p w14:paraId="78BF0FA3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Não conclusão do serviço</w:t>
            </w:r>
          </w:p>
        </w:tc>
        <w:tc>
          <w:tcPr>
            <w:tcW w:w="4510" w:type="dxa"/>
          </w:tcPr>
          <w:p w14:paraId="54C7DEEB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15</w:t>
            </w:r>
          </w:p>
        </w:tc>
      </w:tr>
      <w:tr w:rsidR="00DE2554" w:rsidRPr="00DE2554" w14:paraId="0C690FE1" w14:textId="77777777">
        <w:tc>
          <w:tcPr>
            <w:tcW w:w="4509" w:type="dxa"/>
          </w:tcPr>
          <w:p w14:paraId="60CA59F1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Serviço já executado</w:t>
            </w:r>
          </w:p>
        </w:tc>
        <w:tc>
          <w:tcPr>
            <w:tcW w:w="4510" w:type="dxa"/>
          </w:tcPr>
          <w:p w14:paraId="4DE95B86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13</w:t>
            </w:r>
          </w:p>
        </w:tc>
      </w:tr>
      <w:tr w:rsidR="00DE2554" w:rsidRPr="00DE2554" w14:paraId="72F1D8DF" w14:textId="77777777">
        <w:tc>
          <w:tcPr>
            <w:tcW w:w="4509" w:type="dxa"/>
          </w:tcPr>
          <w:p w14:paraId="3592E94E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Imóvel fechado</w:t>
            </w:r>
          </w:p>
        </w:tc>
        <w:tc>
          <w:tcPr>
            <w:tcW w:w="4510" w:type="dxa"/>
          </w:tcPr>
          <w:p w14:paraId="600D2283" w14:textId="77777777" w:rsidR="00DE2554" w:rsidRPr="00DE2554" w:rsidRDefault="00DE2554" w:rsidP="00F97DF8">
            <w:pPr>
              <w:spacing w:before="240" w:after="240"/>
              <w:jc w:val="center"/>
              <w:rPr>
                <w:sz w:val="20"/>
                <w:szCs w:val="20"/>
              </w:rPr>
            </w:pPr>
            <w:r w:rsidRPr="00DE2554">
              <w:rPr>
                <w:sz w:val="20"/>
                <w:szCs w:val="20"/>
              </w:rPr>
              <w:t>10</w:t>
            </w:r>
          </w:p>
        </w:tc>
      </w:tr>
    </w:tbl>
    <w:p w14:paraId="7F9E67AA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7AFBE841" w14:textId="7777777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A presença de causas genéricas ou não especificadas em grande parte dos registros dificulta a identificação precisa de gargalos operacionais, sendo recomendável o aprimoramento do registro e categorização dos atendimentos.</w:t>
      </w:r>
    </w:p>
    <w:p w14:paraId="2D09FD6D" w14:textId="77777777" w:rsidR="00413476" w:rsidRPr="00413476" w:rsidRDefault="00413476" w:rsidP="00413476">
      <w:pPr>
        <w:spacing w:before="240" w:after="240" w:line="240" w:lineRule="auto"/>
        <w:jc w:val="center"/>
        <w:rPr>
          <w:sz w:val="20"/>
          <w:szCs w:val="20"/>
        </w:rPr>
      </w:pPr>
    </w:p>
    <w:p w14:paraId="456DFBF1" w14:textId="09A0DAB1" w:rsidR="00413476" w:rsidRPr="00413476" w:rsidRDefault="00413476" w:rsidP="00DE2554">
      <w:pPr>
        <w:spacing w:before="240" w:after="240" w:line="240" w:lineRule="auto"/>
        <w:rPr>
          <w:sz w:val="20"/>
          <w:szCs w:val="20"/>
        </w:rPr>
      </w:pPr>
      <w:r w:rsidRPr="00413476">
        <w:rPr>
          <w:sz w:val="20"/>
          <w:szCs w:val="20"/>
        </w:rPr>
        <w:t>c)</w:t>
      </w:r>
      <w:r w:rsidRPr="00413476">
        <w:rPr>
          <w:sz w:val="20"/>
          <w:szCs w:val="20"/>
        </w:rPr>
        <w:tab/>
      </w:r>
      <w:r w:rsidRPr="00DE2554">
        <w:rPr>
          <w:b/>
          <w:bCs/>
          <w:sz w:val="20"/>
          <w:szCs w:val="20"/>
        </w:rPr>
        <w:t>Tempos Médios de Espera e Atendimento</w:t>
      </w:r>
    </w:p>
    <w:p w14:paraId="27673920" w14:textId="7777777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Com base na análise do relatório extraído do sistema de atendimento, foram identificadas situações críticas:</w:t>
      </w:r>
    </w:p>
    <w:p w14:paraId="3E073BAB" w14:textId="2BD8847F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t>Tempo de espera elevado:</w:t>
      </w:r>
      <w:r w:rsidRPr="00413476">
        <w:rPr>
          <w:sz w:val="20"/>
          <w:szCs w:val="20"/>
        </w:rPr>
        <w:t xml:space="preserve"> verificou-se que, em diversos dias do mês de maio de 2025, o tempo de espera médio para atendimento superou os 60 minutos, chegando a ultrapassar 90 minutos em horários de pico. Tal tempo extrapola os padrões aceitáveis de atendimento ao público e pode ser interpretado como um indicativo de ineficiência operacional ou falhas no gerenciamento de fluxo de usuários.</w:t>
      </w:r>
    </w:p>
    <w:p w14:paraId="3688EE0E" w14:textId="4093892C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t>Alta variabilidade no tempo de atendimento</w:t>
      </w:r>
      <w:r w:rsidRPr="00413476">
        <w:rPr>
          <w:sz w:val="20"/>
          <w:szCs w:val="20"/>
        </w:rPr>
        <w:t>: a duração média do atendimento apresentou ampla variação, com registros que vão desde menos de 1 minuto (o que pode sinalizar atendimento superficial ou encerramento automático do chamado) até mais de 28 minutos, revelando uma grande heterogeneidade na complexidade dos serviços e na capacidade de resposta dos atendentes. Essa disparidade também pode indicar a ausência de protocolos padronizados de triagem e atendimento.</w:t>
      </w:r>
    </w:p>
    <w:p w14:paraId="3E216E3F" w14:textId="72A3B4DF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b/>
          <w:bCs/>
          <w:sz w:val="20"/>
          <w:szCs w:val="20"/>
        </w:rPr>
        <w:lastRenderedPageBreak/>
        <w:t>Concentração de atendimentos por atendente:</w:t>
      </w:r>
      <w:r w:rsidRPr="00413476">
        <w:rPr>
          <w:sz w:val="20"/>
          <w:szCs w:val="20"/>
        </w:rPr>
        <w:t xml:space="preserve"> foram detectados dias específicos em que um único atendente concentrou um número elevado de atendimentos, sugerindo sobrecarga individual e possível subdimensionamento da equipe. Essa prática pode afetar negativamente tanto a qualidade da interação quanto a saúde ocupacional do servidor, além de contribuir para o aumento do tempo de espera para os demais usuários.</w:t>
      </w:r>
    </w:p>
    <w:p w14:paraId="5F23679C" w14:textId="238F3497" w:rsidR="00413476" w:rsidRPr="00413476" w:rsidRDefault="00413476" w:rsidP="00DE2554">
      <w:pPr>
        <w:spacing w:before="240" w:after="240" w:line="240" w:lineRule="auto"/>
        <w:jc w:val="both"/>
        <w:rPr>
          <w:sz w:val="20"/>
          <w:szCs w:val="20"/>
        </w:rPr>
      </w:pPr>
      <w:r w:rsidRPr="00413476">
        <w:rPr>
          <w:sz w:val="20"/>
          <w:szCs w:val="20"/>
        </w:rPr>
        <w:t>Essas evidências corroboram a hipótese de que o quadro de atendentes pode estar subdimensionado, especialmente em horários de pico, o que afeta negativamente a qualidade do serviço prestado.</w:t>
      </w: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5112470D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Após a execução da fiscalização in loco, seguem os trâmites pertinentes as Resoluções Arpe nº </w:t>
      </w:r>
      <w:r w:rsidR="00DE2554">
        <w:rPr>
          <w:sz w:val="20"/>
          <w:szCs w:val="20"/>
        </w:rPr>
        <w:t>85</w:t>
      </w:r>
      <w:r>
        <w:rPr>
          <w:sz w:val="20"/>
          <w:szCs w:val="20"/>
        </w:rPr>
        <w:t>/20</w:t>
      </w:r>
      <w:r w:rsidR="00DE2554">
        <w:rPr>
          <w:sz w:val="20"/>
          <w:szCs w:val="20"/>
        </w:rPr>
        <w:t>1</w:t>
      </w:r>
      <w:r>
        <w:rPr>
          <w:sz w:val="20"/>
          <w:szCs w:val="20"/>
        </w:rPr>
        <w:t>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53F91BB7" w14:textId="77777777" w:rsidR="00DE2554" w:rsidRDefault="00DE2554">
      <w:pPr>
        <w:spacing w:before="240" w:after="240" w:line="240" w:lineRule="auto"/>
        <w:rPr>
          <w:b/>
          <w:sz w:val="20"/>
          <w:szCs w:val="20"/>
        </w:rPr>
      </w:pPr>
    </w:p>
    <w:p w14:paraId="6861CF90" w14:textId="1DCA6F26" w:rsidR="000E1456" w:rsidRDefault="00DE2554">
      <w:pPr>
        <w:spacing w:before="240" w:after="240" w:line="240" w:lineRule="auto"/>
        <w:jc w:val="both"/>
        <w:rPr>
          <w:sz w:val="20"/>
          <w:szCs w:val="20"/>
        </w:rPr>
      </w:pPr>
      <w:r w:rsidRPr="00DE2554">
        <w:rPr>
          <w:sz w:val="20"/>
          <w:szCs w:val="20"/>
        </w:rPr>
        <w:t>Considerando os dispositivos legais pertinentes, especialmente a Resolução ARPE nº 85/2019, e as normas regulatórias aplicáveis ao setor de saneamento básico, com o objetivo de assegurar a qualidade, a continuidade, a eficiência e a regularidade dos serviços prestados à população, determina-se que a prestadora de serviços elabore e execute um Plano de Ação, contendo, no mínimo, as seguintes medidas:</w:t>
      </w:r>
    </w:p>
    <w:p w14:paraId="25318B04" w14:textId="1EC48434" w:rsidR="00DE2554" w:rsidRPr="00DE2554" w:rsidRDefault="00DE2554" w:rsidP="00DE2554">
      <w:pPr>
        <w:pStyle w:val="PargrafodaLista"/>
        <w:numPr>
          <w:ilvl w:val="0"/>
          <w:numId w:val="8"/>
        </w:numPr>
        <w:rPr>
          <w:bCs/>
          <w:sz w:val="20"/>
          <w:szCs w:val="20"/>
        </w:rPr>
      </w:pPr>
      <w:r w:rsidRPr="00DE2554">
        <w:rPr>
          <w:b/>
          <w:sz w:val="20"/>
          <w:szCs w:val="20"/>
        </w:rPr>
        <w:t>Correções Imediatas das Não Conformidades</w:t>
      </w:r>
      <w:r>
        <w:rPr>
          <w:b/>
          <w:sz w:val="20"/>
          <w:szCs w:val="20"/>
        </w:rPr>
        <w:t>:</w:t>
      </w:r>
      <w:r w:rsidRPr="00DE2554">
        <w:rPr>
          <w:b/>
          <w:sz w:val="20"/>
          <w:szCs w:val="20"/>
        </w:rPr>
        <w:t xml:space="preserve"> </w:t>
      </w:r>
      <w:r w:rsidRPr="00DE2554">
        <w:rPr>
          <w:bCs/>
          <w:sz w:val="20"/>
          <w:szCs w:val="20"/>
        </w:rPr>
        <w:t>Adotar providências imediatas para correção das 03 (três) Não Conformidades constatadas na unidade de atendimento de Gravatá, conforme discriminadas na Tabela 1, com ênfase na adequação das instalações à legislação vigente, acessibilidade, disponibilização de informações obrigatórias ao público e dimensionamento adequado de recursos humanos e materiais.</w:t>
      </w:r>
    </w:p>
    <w:p w14:paraId="38ADDCBE" w14:textId="77777777" w:rsidR="00DE2554" w:rsidRPr="00DE2554" w:rsidRDefault="00DE2554" w:rsidP="00DE2554">
      <w:pPr>
        <w:pStyle w:val="PargrafodaLista"/>
        <w:numPr>
          <w:ilvl w:val="0"/>
          <w:numId w:val="8"/>
        </w:numPr>
        <w:rPr>
          <w:b/>
          <w:sz w:val="20"/>
          <w:szCs w:val="20"/>
        </w:rPr>
      </w:pPr>
      <w:r w:rsidRPr="00DE2554">
        <w:rPr>
          <w:b/>
          <w:sz w:val="20"/>
          <w:szCs w:val="20"/>
        </w:rPr>
        <w:t xml:space="preserve">Acessibilidade e Atendimento ao Público: </w:t>
      </w:r>
      <w:r w:rsidRPr="00DE2554">
        <w:rPr>
          <w:bCs/>
          <w:sz w:val="20"/>
          <w:szCs w:val="20"/>
        </w:rPr>
        <w:t>Implementar as adequações necessárias nas instalações físicas da loja de atendimento, garantindo plena acessibilidade para pessoas com deficiência, conforme as normas técnicas e regulatórias aplicáveis, incluindo sinalização tátil e em Braille, conforme previsto na NBR 9050.</w:t>
      </w:r>
    </w:p>
    <w:p w14:paraId="3F9A76FD" w14:textId="1CCE8480" w:rsidR="00DE2554" w:rsidRPr="00DE2554" w:rsidRDefault="00DE2554" w:rsidP="00DE2554">
      <w:pPr>
        <w:pStyle w:val="PargrafodaLista"/>
        <w:numPr>
          <w:ilvl w:val="0"/>
          <w:numId w:val="8"/>
        </w:numPr>
        <w:rPr>
          <w:b/>
          <w:sz w:val="20"/>
          <w:szCs w:val="20"/>
        </w:rPr>
      </w:pPr>
      <w:r w:rsidRPr="00DE2554">
        <w:rPr>
          <w:b/>
          <w:sz w:val="20"/>
          <w:szCs w:val="20"/>
        </w:rPr>
        <w:t>Transparência e Direito à Informação</w:t>
      </w:r>
      <w:r>
        <w:rPr>
          <w:b/>
          <w:sz w:val="20"/>
          <w:szCs w:val="20"/>
        </w:rPr>
        <w:t xml:space="preserve">: </w:t>
      </w:r>
      <w:r w:rsidRPr="00DE2554">
        <w:rPr>
          <w:bCs/>
          <w:sz w:val="20"/>
          <w:szCs w:val="20"/>
        </w:rPr>
        <w:t>Providenciar a fixação, em local de fácil visualização pelo público, de: Legislação vigente relacionada aos serviços prestados; Livro de manifestações dos usuários, conforme regulamentação vigente.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67E62E53" w14:textId="77777777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Considerando as definições e a legislação em vigor, seguem algumas recomendações para a melhoria da prestação dos serviços na loja de atendimento:</w:t>
      </w:r>
    </w:p>
    <w:p w14:paraId="048C21A3" w14:textId="762B69EB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Capacitação contínua dos atendentes sobre direitos dos usuários, normas regulatórias e fluxos de atendimento, garantindo eficiência, urbanidade e resolutividade nas demandas apresentadas pela população.</w:t>
      </w:r>
    </w:p>
    <w:p w14:paraId="0EF32AE2" w14:textId="4D37DE7F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Disponibilização de canais acessíveis de atendimento, incluindo meios físicos (livro de manifestações) e digitais (telefone, e-mail, aplicativo), respeitando os princípios da continuidade e cortesia no atendimento.</w:t>
      </w:r>
    </w:p>
    <w:p w14:paraId="21C0CA37" w14:textId="343DC47E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Adoção de mecanismos de controle de qualidade no atendimento, com registro, monitoramento e análise periódica dos indicadores de desempenho da loja.</w:t>
      </w:r>
    </w:p>
    <w:p w14:paraId="7C1A569A" w14:textId="02EE4AC0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lastRenderedPageBreak/>
        <w:t>Dimensionar adequadamente o número de atendentes e os equipamentos necessários para garantir a eficiência e agilidade no atendimento aos usuários, com base no fluxo de demanda observado e em metas de desempenho.</w:t>
      </w:r>
    </w:p>
    <w:p w14:paraId="3C1BE2BC" w14:textId="0F836102" w:rsidR="00DE2554" w:rsidRPr="00DE2554" w:rsidRDefault="00DE2554" w:rsidP="00DE2554">
      <w:pPr>
        <w:pStyle w:val="PargrafodaLista"/>
        <w:numPr>
          <w:ilvl w:val="0"/>
          <w:numId w:val="11"/>
        </w:numPr>
        <w:spacing w:before="240" w:after="240" w:line="240" w:lineRule="auto"/>
        <w:rPr>
          <w:sz w:val="20"/>
          <w:szCs w:val="20"/>
        </w:rPr>
      </w:pPr>
      <w:r w:rsidRPr="00DE2554">
        <w:rPr>
          <w:sz w:val="20"/>
          <w:szCs w:val="20"/>
        </w:rPr>
        <w:t>Revisão periódica dos fluxos de atendimento, assegurando clareza nas informações prestadas, celeridade no tratamento das solicitações e resposta formal no prazo regulamentar.</w:t>
      </w:r>
    </w:p>
    <w:p w14:paraId="78C29109" w14:textId="0562D898" w:rsidR="000E1456" w:rsidRDefault="00000000" w:rsidP="00DE2554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5932A3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 análise da situação d</w:t>
      </w:r>
      <w:r w:rsidR="00233081">
        <w:rPr>
          <w:sz w:val="20"/>
          <w:szCs w:val="20"/>
        </w:rPr>
        <w:t xml:space="preserve">a </w:t>
      </w:r>
      <w:r w:rsidR="007378E4" w:rsidRPr="007378E4">
        <w:rPr>
          <w:color w:val="EE0000"/>
          <w:sz w:val="20"/>
          <w:szCs w:val="20"/>
        </w:rPr>
        <w:t xml:space="preserve">{{Unidade}} </w:t>
      </w:r>
      <w:r w:rsidR="007378E4">
        <w:rPr>
          <w:sz w:val="20"/>
          <w:szCs w:val="20"/>
        </w:rPr>
        <w:t>no município de</w:t>
      </w:r>
      <w:r>
        <w:rPr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042B515E" w14:textId="22D2C9E0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 unidade apresenta não conformidades relacionadas à acessibilidade, com ausência de piso tátil e sinalização em Braille, comprometendo o atendimento inclusivo e o pleno acesso dos usuários com deficiência.</w:t>
      </w:r>
    </w:p>
    <w:p w14:paraId="0CDD374D" w14:textId="492F1CE1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Constatou-se a ausência de afixação da legislação vigente na loja, impedindo que os usuários tenham acesso às normas que regulam os serviços de saneamento, conforme exigência legal.</w:t>
      </w:r>
    </w:p>
    <w:p w14:paraId="1D9F48A3" w14:textId="07C396DA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Não foi identificado livro de manifestações do usuário no ambiente de atendimento, contrariando o direito à manifestação e à participação do cidadão na melhoria dos serviços públicos.</w:t>
      </w:r>
    </w:p>
    <w:p w14:paraId="02B24985" w14:textId="21122B12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Observou-se inadequação no dimensionamento da equipe de atendimento e da infraestrutura disponível, resultando em potenciais prejuízos à qualidade, agilidade e efetividade no atendimento ao público.</w:t>
      </w:r>
    </w:p>
    <w:p w14:paraId="069D7849" w14:textId="67526698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As condições físicas da loja de atendimento carecem de melhorias estruturais e organizacionais, com</w:t>
      </w:r>
      <w:r w:rsidRPr="00233081">
        <w:rPr>
          <w:sz w:val="20"/>
          <w:szCs w:val="20"/>
          <w:highlight w:val="cyan"/>
        </w:rPr>
        <w:t xml:space="preserve"> </w:t>
      </w:r>
      <w:r w:rsidRPr="00233081">
        <w:rPr>
          <w:sz w:val="20"/>
          <w:szCs w:val="20"/>
          <w:highlight w:val="cyan"/>
        </w:rPr>
        <w:t>necessidade de revisão dos fluxos de atendimento, melhor sinalização e maior conforto para os usuários.</w:t>
      </w:r>
    </w:p>
    <w:p w14:paraId="621C3B93" w14:textId="550B28E4" w:rsidR="00233081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 falta de instrumentos de controle e monitoramento da qualidade do atendimento, como relatórios gerenciais ou indicadores de desempenho, dificulta a mensuração e correção de falhas operacionais.</w:t>
      </w:r>
    </w:p>
    <w:p w14:paraId="209277E7" w14:textId="4EE6DBC2" w:rsidR="000E1456" w:rsidRPr="00233081" w:rsidRDefault="00233081" w:rsidP="00233081">
      <w:pPr>
        <w:pStyle w:val="PargrafodaLista"/>
        <w:numPr>
          <w:ilvl w:val="0"/>
          <w:numId w:val="12"/>
        </w:numPr>
        <w:spacing w:before="240" w:after="240" w:line="240" w:lineRule="auto"/>
        <w:jc w:val="both"/>
        <w:rPr>
          <w:sz w:val="20"/>
          <w:szCs w:val="20"/>
          <w:highlight w:val="cyan"/>
        </w:rPr>
      </w:pPr>
      <w:r w:rsidRPr="00233081">
        <w:rPr>
          <w:sz w:val="20"/>
          <w:szCs w:val="20"/>
          <w:highlight w:val="cyan"/>
        </w:rPr>
        <w:t>Apesar das limitações identificadas, a equipe da loja demonstrou disposição em colaborar com o processo de fiscalização e reconheceu a importância das adequações solicitadas pela ARPE.</w:t>
      </w:r>
    </w:p>
    <w:p w14:paraId="015A7747" w14:textId="4DA2E6B2" w:rsidR="000E1456" w:rsidRDefault="00233081">
      <w:pPr>
        <w:spacing w:before="240" w:after="240" w:line="240" w:lineRule="auto"/>
        <w:jc w:val="both"/>
        <w:rPr>
          <w:sz w:val="20"/>
          <w:szCs w:val="20"/>
        </w:rPr>
      </w:pPr>
      <w:r w:rsidRPr="00233081">
        <w:rPr>
          <w:sz w:val="20"/>
          <w:szCs w:val="20"/>
        </w:rPr>
        <w:t>Diante do exposto, recomenda-se que a Prestadora de Serviços elabore e implemente um Plano de Ação com medidas corretivas e preventivas, conforme as determinações descritas na Tabela 1 deste relatório, visando à adequação da unidade aos parâmetros regulatórios e à melhoria contínua na prestação dos serviços à população.</w:t>
      </w:r>
    </w:p>
    <w:p w14:paraId="2717A16D" w14:textId="77777777" w:rsidR="00233081" w:rsidRDefault="00233081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8B31764" w14:textId="77777777" w:rsidR="00DE2554" w:rsidRP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Recife, data da assinatura eletrônica.</w:t>
      </w:r>
    </w:p>
    <w:p w14:paraId="03B96C77" w14:textId="19DD3781" w:rsid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André Luiz Borges Almeida</w:t>
      </w:r>
    </w:p>
    <w:p w14:paraId="64CC4DE3" w14:textId="56A71895" w:rsid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Analista de Regulação</w:t>
      </w:r>
    </w:p>
    <w:p w14:paraId="1E63F6B1" w14:textId="2EF576D9" w:rsidR="00DE2554" w:rsidRPr="00DE2554" w:rsidRDefault="00DE2554" w:rsidP="00DE2554">
      <w:pPr>
        <w:spacing w:before="240" w:after="240" w:line="240" w:lineRule="auto"/>
        <w:jc w:val="center"/>
        <w:rPr>
          <w:sz w:val="20"/>
          <w:szCs w:val="20"/>
        </w:rPr>
      </w:pPr>
      <w:r w:rsidRPr="00DE2554">
        <w:rPr>
          <w:sz w:val="20"/>
          <w:szCs w:val="20"/>
        </w:rPr>
        <w:t>Matrícula 3361586/02</w:t>
      </w:r>
    </w:p>
    <w:sectPr w:rsidR="00DE2554" w:rsidRPr="00DE25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E9A3D" w14:textId="77777777" w:rsidR="005437D3" w:rsidRDefault="005437D3" w:rsidP="006247D6">
      <w:pPr>
        <w:spacing w:line="240" w:lineRule="auto"/>
      </w:pPr>
      <w:r>
        <w:separator/>
      </w:r>
    </w:p>
  </w:endnote>
  <w:endnote w:type="continuationSeparator" w:id="0">
    <w:p w14:paraId="4C2150BC" w14:textId="77777777" w:rsidR="005437D3" w:rsidRDefault="005437D3" w:rsidP="00624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8622D" w14:textId="77777777" w:rsidR="005437D3" w:rsidRDefault="005437D3" w:rsidP="006247D6">
      <w:pPr>
        <w:spacing w:line="240" w:lineRule="auto"/>
      </w:pPr>
      <w:r>
        <w:separator/>
      </w:r>
    </w:p>
  </w:footnote>
  <w:footnote w:type="continuationSeparator" w:id="0">
    <w:p w14:paraId="4F7E2C21" w14:textId="77777777" w:rsidR="005437D3" w:rsidRDefault="005437D3" w:rsidP="006247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CD1A90"/>
    <w:multiLevelType w:val="hybridMultilevel"/>
    <w:tmpl w:val="98522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B1E9D"/>
    <w:multiLevelType w:val="hybridMultilevel"/>
    <w:tmpl w:val="27CAB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11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10"/>
  </w:num>
  <w:num w:numId="8" w16cid:durableId="1787969405">
    <w:abstractNumId w:val="2"/>
  </w:num>
  <w:num w:numId="9" w16cid:durableId="1164275990">
    <w:abstractNumId w:val="9"/>
  </w:num>
  <w:num w:numId="10" w16cid:durableId="2037198462">
    <w:abstractNumId w:val="6"/>
  </w:num>
  <w:num w:numId="11" w16cid:durableId="2130082391">
    <w:abstractNumId w:val="7"/>
  </w:num>
  <w:num w:numId="12" w16cid:durableId="831717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D4BC8"/>
    <w:rsid w:val="000E014B"/>
    <w:rsid w:val="000E1456"/>
    <w:rsid w:val="001E0773"/>
    <w:rsid w:val="00233081"/>
    <w:rsid w:val="002E64E8"/>
    <w:rsid w:val="0034303A"/>
    <w:rsid w:val="00362650"/>
    <w:rsid w:val="0037372E"/>
    <w:rsid w:val="00413476"/>
    <w:rsid w:val="00441612"/>
    <w:rsid w:val="004A60D7"/>
    <w:rsid w:val="0051012E"/>
    <w:rsid w:val="005437D3"/>
    <w:rsid w:val="005A7132"/>
    <w:rsid w:val="005D053C"/>
    <w:rsid w:val="005E0400"/>
    <w:rsid w:val="005E31A8"/>
    <w:rsid w:val="006247D6"/>
    <w:rsid w:val="00634BF7"/>
    <w:rsid w:val="006D2AFA"/>
    <w:rsid w:val="00725154"/>
    <w:rsid w:val="007378E4"/>
    <w:rsid w:val="00771B60"/>
    <w:rsid w:val="00780C06"/>
    <w:rsid w:val="007B2F13"/>
    <w:rsid w:val="008C51D5"/>
    <w:rsid w:val="00942871"/>
    <w:rsid w:val="009A1307"/>
    <w:rsid w:val="009E73FA"/>
    <w:rsid w:val="00A334C2"/>
    <w:rsid w:val="00B727B7"/>
    <w:rsid w:val="00BC2257"/>
    <w:rsid w:val="00C87532"/>
    <w:rsid w:val="00C967E4"/>
    <w:rsid w:val="00DD2D13"/>
    <w:rsid w:val="00DE2554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0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6247D6"/>
    <w:pPr>
      <w:ind w:left="720"/>
      <w:contextualSpacing/>
    </w:pPr>
  </w:style>
  <w:style w:type="table" w:styleId="Tabelacomgrade">
    <w:name w:val="Table Grid"/>
    <w:basedOn w:val="Tabelanormal"/>
    <w:uiPriority w:val="39"/>
    <w:rsid w:val="004134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E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554"/>
  </w:style>
  <w:style w:type="paragraph" w:styleId="Rodap">
    <w:name w:val="footer"/>
    <w:basedOn w:val="Normal"/>
    <w:link w:val="RodapChar"/>
    <w:uiPriority w:val="99"/>
    <w:unhideWhenUsed/>
    <w:rsid w:val="00DE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2630</Words>
  <Characters>14202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2</cp:revision>
  <dcterms:created xsi:type="dcterms:W3CDTF">2025-08-19T15:00:00Z</dcterms:created>
  <dcterms:modified xsi:type="dcterms:W3CDTF">2025-08-19T15:00:00Z</dcterms:modified>
</cp:coreProperties>
</file>