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Merged structural table</w:t>
      </w:r>
    </w:p>
    <w:tbl>
      <w:tblGrid>
        <w:gridCol w:w="2400"/>
        <w:gridCol w:w="2400"/>
      </w:tblGrid>
      <w:tr>
        <w:tc>
          <w:tcPr>
            <w:gridSpan w:val="2"/>
          </w:tcPr>
          <w:p>
            <w:r>
              <w:t>Combined header</w:t>
            </w:r>
          </w:p>
        </w:tc>
      </w:tr>
      <w:tr>
        <w:tc>
          <w:p>
            <w:r>
              <w:t>Left</w:t>
            </w:r>
          </w:p>
        </w:tc>
        <w:tc>
          <w:p>
            <w:r>
              <w:t>Right</w:t>
            </w:r>
          </w:p>
        </w:tc>
      </w:tr>
    </w:tbl>
    <w:sectPr>
      <w:pgSz w:w="12240" w:h="15840"/>
      <w:pgMar w:top="1440" w:right="1440" w:bottom="1440" w:left="1440" w:header="360" w:footer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</w:docDefaults>
</w:styles>
</file>