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ESPECIFICAÇÃO DE CASOS DE USO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«1.0»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 —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«dd/mm/aaaa»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t xml:space="preserve">CONTROLE DO DOCUMENTO</w:t>
      </w:r>
    </w:p>
    <w:p>
      <w:pPr>
        <w:pStyle w:val="TituloBloco"/>
      </w:pPr>
      <w: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Casos de Uso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«Rascunho / Em revisão / Aprovado»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</w:tbl>
    <w:p>
      <w:pPr>
        <w:pStyle w:val="TituloBloco"/>
      </w:pPr>
      <w: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00"/>
        <w:gridCol w:w="1700"/>
        <w:gridCol w:w="4171"/>
        <w:gridCol w:w="2000"/>
      </w:tblGrid>
      <w:tr>
        <w:trPr>
          <w:tblHeader/>
        </w:trPr>
        <w:tc>
          <w:tcPr>
            <w:tcW w:type="dxa" w:w="1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1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«Versão inicial do documento»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Toda alteração após a primeira entrega deve gerar uma nova linha nesta tabela.</w:t>
      </w:r>
    </w:p>
    <w:p>
      <w:pPr>
        <w:pStyle w:val="TituloBloco"/>
      </w:pPr>
      <w: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900"/>
        <w:gridCol w:w="2200"/>
        <w:gridCol w:w="1400"/>
        <w:gridCol w:w="2571"/>
      </w:tblGrid>
      <w:tr>
        <w:trPr>
          <w:tblHeader/>
        </w:trPr>
        <w:tc>
          <w:tcPr>
            <w:tcW w:type="dxa" w:w="2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5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pPr>
        <w:pStyle w:val="Orientacao"/>
      </w:pPr>
      <w:r>
        <w:rPr>
          <w:rFonts w:ascii="Arial" w:cs="Arial" w:eastAsia="Arial" w:hAnsi="Arial"/>
        </w:rPr>
        <w:t xml:space="preserve">Este documento detalha, caso a caso, o comportamento esperado do sistema sob a ótica do ator que o utiliza. Cada caso de uso é uma seção de primeiro nível e segue integralmente a estrutura definida na seção seguinte.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Como utilizar este modelo</w:t>
      </w:r>
    </w:p>
    <w:p>
      <w:pPr>
        <w:pStyle w:val="Orientacao"/>
      </w:pPr>
      <w:r>
        <w:rPr>
          <w:rFonts w:ascii="Arial" w:cs="Arial" w:eastAsia="Arial" w:hAnsi="Arial"/>
        </w:rPr>
        <w:t xml:space="preserve">Duplique o bloco “Caso de Uso UC01 — Nome do caso de uso” — da seção de primeiro nível até a última subseção — uma vez para cada caso de uso do projeto. A numeração das seções e o sumário se atualizam sozinhos. Subseções marcadas como opcionais podem ser removidas quando não se aplicarem, mas evite renumerar itens manualmente.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Índice de casos de uso</w:t>
      </w:r>
    </w:p>
    <w:p>
      <w:pPr>
        <w:pStyle w:val="Orientacao"/>
      </w:pPr>
      <w:r>
        <w:rPr>
          <w:rFonts w:ascii="Arial" w:cs="Arial" w:eastAsia="Arial" w:hAnsi="Arial"/>
        </w:rPr>
        <w:t xml:space="preserve">Preencha esta tabela conforme os casos de uso forem sendo especificados. Ela é o mapa de rastreabilidade entre requisitos e especificação.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50"/>
        <w:gridCol w:w="2521"/>
        <w:gridCol w:w="1900"/>
        <w:gridCol w:w="1900"/>
        <w:gridCol w:w="1500"/>
      </w:tblGrid>
      <w:tr>
        <w:trPr>
          <w:tblHeader/>
        </w:trPr>
        <w:tc>
          <w:tcPr>
            <w:tcW w:type="dxa" w:w="125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5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caso de uso</w:t>
            </w:r>
          </w:p>
        </w:tc>
        <w:tc>
          <w:tcPr>
            <w:tcW w:type="dxa" w:w="1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1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15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«UC01»</w:t>
            </w:r>
          </w:p>
        </w:tc>
        <w:tc>
          <w:tcPr>
            <w:tcW w:type="dxa" w:w="2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«Manter Cadastro X»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«Ator X»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«RF01, RF02»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«Especificado»</w:t>
            </w: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</w:t>
      </w:r>
      <w:r>
        <w:rPr>
          <w:rStyle w:val="Campo"/>
          <w:rFonts w:ascii="Arial" w:cs="Arial" w:eastAsia="Arial" w:hAnsi="Arial"/>
        </w:rPr>
        <w:t xml:space="preserve">«UC01 — Nome do caso de uso»</w:t>
      </w:r>
    </w:p>
    <w:p>
      <w:pPr>
        <w:pStyle w:val="Orientacao"/>
      </w:pPr>
      <w:r>
        <w:rPr>
          <w:rFonts w:ascii="Arial" w:cs="Arial" w:eastAsia="Arial" w:hAnsi="Arial"/>
        </w:rPr>
        <w:t xml:space="preserve">Repita este bloco inteiro para cada caso de uso. Mantenha o título no formato </w:t>
      </w:r>
      <w:r>
        <w:rPr>
          <w:rStyle w:val="Campo"/>
          <w:rFonts w:ascii="Arial" w:cs="Arial" w:eastAsia="Arial" w:hAnsi="Arial"/>
        </w:rPr>
        <w:t xml:space="preserve">«UCnn — Nome»</w:t>
      </w:r>
      <w:r>
        <w:rPr>
          <w:rFonts w:ascii="Arial" w:cs="Arial" w:eastAsia="Arial" w:hAnsi="Arial"/>
        </w:rPr>
        <w:t xml:space="preserve">, usando um verbo no infinitivo que descreva a intenção do ator (Manter Cliente, Registrar Frequência, Emitir Relatório).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«UC01»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 do caso de uso»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«ator»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«ator / não se aplica»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«RF01, RF02»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«inclui: UC0n»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«estende: UC0n»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</w:t>
            </w: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pPr>
        <w:pStyle w:val="Orientacao"/>
      </w:pPr>
      <w:r>
        <w:rPr>
          <w:rFonts w:ascii="Arial" w:cs="Arial" w:eastAsia="Arial" w:hAnsi="Arial"/>
        </w:rPr>
        <w:t xml:space="preserve">Breve descrição do objetivo e da finalidade deste caso de uso. Cuide da COESÃO do texto e das descrições referentes ao objetivo principal do caso de uso. Tudo que “fugir” do objetivo e da finalidade, ou propiciar “sub-atividades” que o complementam, pode ser indício de que há outro caso de uso — extensão ou inclusão, por exemplo.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 (opcional)</w:t>
      </w:r>
    </w:p>
    <w:p>
      <w:pPr>
        <w:pStyle w:val="Orientacao"/>
      </w:pPr>
      <w:r>
        <w:rPr>
          <w:rFonts w:ascii="Arial" w:cs="Arial" w:eastAsia="Arial" w:hAnsi="Arial"/>
        </w:rPr>
        <w:t xml:space="preserve">Detalha os principais requisitos envolvidos neste caso de uso e que serão atendidos pelos fluxos descritos adiante.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«requisito especial»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Orientacao"/>
      </w:pPr>
      <w:r>
        <w:rPr>
          <w:rFonts w:ascii="Arial" w:cs="Arial" w:eastAsia="Arial" w:hAnsi="Arial"/>
        </w:rPr>
        <w:t xml:space="preserve">Pré-condições a serem atendidas antes de o ator executar este caso de uso. Ex.: o ator deve ter executado o caso de uso A.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«pré-condição»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pPr>
        <w:pStyle w:val="Orientacao"/>
      </w:pPr>
      <w:r>
        <w:rPr>
          <w:rFonts w:ascii="Arial" w:cs="Arial" w:eastAsia="Arial" w:hAnsi="Arial"/>
        </w:rPr>
        <w:t xml:space="preserve">Especificação e detalhamento do caso de uso e de seus cenários principais. Marque cada validação com o código da exceção correspondente — (E01), (E02) — e detalhe o tratamento na seção de exceções.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4"/>
        </w:numPr>
      </w:pPr>
      <w:r>
        <w:rPr>
          <w:rStyle w:val="Campo"/>
          <w:rFonts w:ascii="Arial" w:cs="Arial" w:eastAsia="Arial" w:hAnsi="Arial"/>
        </w:rPr>
        <w:t xml:space="preserve">«Realizar Cadastro X»</w:t>
      </w:r>
    </w:p>
    <w:p>
      <w:pPr>
        <w:pStyle w:val="ListParagraph"/>
        <w:numPr>
          <w:ilvl w:val="0"/>
          <w:numId w:val="4"/>
        </w:numPr>
      </w:pPr>
      <w:r>
        <w:rPr>
          <w:rStyle w:val="Campo"/>
          <w:rFonts w:ascii="Arial" w:cs="Arial" w:eastAsia="Arial" w:hAnsi="Arial"/>
        </w:rPr>
        <w:t xml:space="preserve">«Realizar Y»</w:t>
      </w:r>
    </w:p>
    <w:p>
      <w:pPr>
        <w:pStyle w:val="ListParagraph"/>
        <w:numPr>
          <w:ilvl w:val="0"/>
          <w:numId w:val="4"/>
        </w:numPr>
      </w:pPr>
      <w:r>
        <w:rPr>
          <w:rStyle w:val="Campo"/>
          <w:rFonts w:ascii="Arial" w:cs="Arial" w:eastAsia="Arial" w:hAnsi="Arial"/>
        </w:rPr>
        <w:t xml:space="preserve">«Realizar Z»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</w:t>
      </w:r>
      <w:r>
        <w:rPr>
          <w:rStyle w:val="Campo"/>
          <w:rFonts w:ascii="Arial" w:cs="Arial" w:eastAsia="Arial" w:hAnsi="Arial"/>
        </w:rPr>
        <w:t xml:space="preserve">«Realizar Cadastro X»</w:t>
      </w:r>
    </w:p>
    <w:p>
      <w:r>
        <w:rPr>
          <w:rFonts w:ascii="Arial" w:cs="Arial" w:eastAsia="Arial" w:hAnsi="Arial"/>
        </w:rPr>
        <w:t xml:space="preserve">O usuário (</w:t>
      </w:r>
      <w:r>
        <w:rPr>
          <w:rStyle w:val="Campo"/>
          <w:rFonts w:ascii="Arial" w:cs="Arial" w:eastAsia="Arial" w:hAnsi="Arial"/>
        </w:rPr>
        <w:t xml:space="preserve">«Ator X»</w:t>
      </w:r>
      <w:r>
        <w:rPr>
          <w:rFonts w:ascii="Arial" w:cs="Arial" w:eastAsia="Arial" w:hAnsi="Arial"/>
        </w:rPr>
        <w:t xml:space="preserve">) informa ao sistema: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«Código do …»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«Nome do …»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«Relaciona um elemento Y ao cadastro»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«Não permite que o código seja zero»</w:t>
      </w:r>
      <w:r>
        <w:rPr>
          <w:rFonts w:ascii="Arial" w:cs="Arial" w:eastAsia="Arial" w:hAnsi="Arial"/>
        </w:rPr>
        <w:t xml:space="preserve"> (E01);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«Verifica se não existe no cadastro nenhum nome igual»</w:t>
      </w:r>
      <w:r>
        <w:rPr>
          <w:rFonts w:ascii="Arial" w:cs="Arial" w:eastAsia="Arial" w:hAnsi="Arial"/>
        </w:rPr>
        <w:t xml:space="preserve"> (E02);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«Verifica se Y é possível de ser relacionado ao cadastro X, conforme a seguinte regra:»</w:t>
      </w:r>
    </w:p>
    <w:p>
      <w:pPr>
        <w:pStyle w:val="ListParagraph"/>
        <w:numPr>
          <w:ilvl w:val="1"/>
          <w:numId w:val="3"/>
        </w:numPr>
      </w:pPr>
      <w:r>
        <w:rPr>
          <w:rStyle w:val="Campo"/>
          <w:rFonts w:ascii="Arial" w:cs="Arial" w:eastAsia="Arial" w:hAnsi="Arial"/>
        </w:rPr>
        <w:t xml:space="preserve">«Não pode haver mais que 5 X relacionados a Y»</w:t>
      </w:r>
      <w:r>
        <w:rPr>
          <w:rFonts w:ascii="Arial" w:cs="Arial" w:eastAsia="Arial" w:hAnsi="Arial"/>
        </w:rPr>
        <w:t xml:space="preserve"> (E03).</w:t>
      </w:r>
    </w:p>
    <w:p>
      <w:r>
        <w:rPr>
          <w:rStyle w:val="Campo"/>
          <w:rFonts w:ascii="Arial" w:cs="Arial" w:eastAsia="Arial" w:hAnsi="Arial"/>
        </w:rPr>
        <w:t xml:space="preserve">«Não havendo registro de X, por Y ser inválido, o sistema oferece a possibilidade de o usuário escolher outros Y válidos (ver fluxo alternativo).»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</w:t>
      </w:r>
      <w:r>
        <w:rPr>
          <w:rStyle w:val="Campo"/>
          <w:rFonts w:ascii="Arial" w:cs="Arial" w:eastAsia="Arial" w:hAnsi="Arial"/>
        </w:rPr>
        <w:t xml:space="preserve">«nome do cenário»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 (opcional)</w:t>
      </w:r>
    </w:p>
    <w:p>
      <w:pPr>
        <w:pStyle w:val="Orientacao"/>
      </w:pPr>
      <w:r>
        <w:rPr>
          <w:rFonts w:ascii="Arial" w:cs="Arial" w:eastAsia="Arial" w:hAnsi="Arial"/>
        </w:rPr>
        <w:t xml:space="preserve">Fluxos alternativos que podem existir em decorrência da especificação documentada na seção anterior. Aplicam-se a tratamentos de erro mais elaborados que o simples retorno de mensagem.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</w:t>
      </w:r>
      <w:r>
        <w:rPr>
          <w:rStyle w:val="Campo"/>
          <w:rFonts w:ascii="Arial" w:cs="Arial" w:eastAsia="Arial" w:hAnsi="Arial"/>
        </w:rPr>
        <w:t xml:space="preserve">«1 — Escolher Y»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</w:t>
      </w:r>
      <w:r>
        <w:rPr>
          <w:rStyle w:val="Campo"/>
          <w:rFonts w:ascii="Arial" w:cs="Arial" w:eastAsia="Arial" w:hAnsi="Arial"/>
        </w:rPr>
        <w:t xml:space="preserve">«n»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pPr>
        <w:pStyle w:val="Orientacao"/>
      </w:pPr>
      <w:r>
        <w:rPr>
          <w:rFonts w:ascii="Arial" w:cs="Arial" w:eastAsia="Arial" w:hAnsi="Arial"/>
        </w:rPr>
        <w:t xml:space="preserve">Referências e especificação do tratamento para cada exceção documentada nos fluxos acima. O código usado aqui deve ser o mesmo citado no fluxo.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00"/>
        <w:gridCol w:w="4271"/>
        <w:gridCol w:w="3600"/>
      </w:tblGrid>
      <w:tr>
        <w:trPr>
          <w:tblHeader/>
        </w:trPr>
        <w:tc>
          <w:tcPr>
            <w:tcW w:type="dxa" w:w="1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4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3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«E01»</w:t>
            </w:r>
          </w:p>
        </w:tc>
        <w:tc>
          <w:tcPr>
            <w:tcW w:type="dxa" w:w="4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«Código informado igual a zero»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«Retornar mensagem de erro: “Código inválido”»</w:t>
            </w: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 (opcional)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600"/>
        <w:gridCol w:w="1800"/>
        <w:gridCol w:w="1600"/>
        <w:gridCol w:w="3071"/>
      </w:tblGrid>
      <w:tr>
        <w:trPr>
          <w:tblHeader/>
        </w:trPr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0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Orientacao"/>
      </w:pPr>
      <w:r>
        <w:rPr>
          <w:rFonts w:ascii="Arial" w:cs="Arial" w:eastAsia="Arial" w:hAnsi="Arial"/>
        </w:rPr>
        <w:t xml:space="preserve">Observações e notas necessárias — decisões tomadas com o cliente, pontos em aberto, dependências.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Orientacao"/>
      </w:pPr>
      <w:r>
        <w:rPr>
          <w:rFonts w:ascii="Arial" w:cs="Arial" w:eastAsia="Arial" w:hAnsi="Arial"/>
        </w:rPr>
        <w:t xml:space="preserve">Eventualmente, descreva o que obrigatoriamente deve ser feito após o usuário executar este caso de uso. Exemplo: ir para o caso de uso X.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«pós-condição»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 (opcional)</w:t>
      </w:r>
    </w:p>
    <w:p>
      <w:pPr>
        <w:pStyle w:val="Orientacao"/>
      </w:pPr>
      <w:r>
        <w:rPr>
          <w:rFonts w:ascii="Arial" w:cs="Arial" w:eastAsia="Arial" w:hAnsi="Arial"/>
        </w:rPr>
        <w:t xml:space="preserve">Proposta de interface nos casos em que se aplica. Esta proposta pode servir de apoio às atividades de projeto de interface.</w:t>
      </w:r>
    </w:p>
    <w:p>
      <w:r>
        <w:rPr>
          <w:rStyle w:val="Campo"/>
          <w:rFonts w:ascii="Arial" w:cs="Arial" w:eastAsia="Arial" w:hAnsi="Arial"/>
        </w:rPr>
        <w:t xml:space="preserve">«inserir aqui o esboço de tela»</w:t>
      </w:r>
    </w:p>
    <w:p>
      <w:pPr>
        <w:pStyle w:val="Legenda"/>
      </w:pPr>
      <w:r>
        <w:rPr>
          <w:rFonts w:ascii="Arial" w:cs="Arial" w:eastAsia="Arial" w:hAnsi="Arial"/>
        </w:rPr>
        <w:t xml:space="preserve">Figura </w:t>
      </w:r>
      <w:r>
        <w:rPr>
          <w:rStyle w:val="Campo"/>
          <w:rFonts w:ascii="Arial" w:cs="Arial" w:eastAsia="Arial" w:hAnsi="Arial"/>
        </w:rPr>
        <w:t xml:space="preserve">«n»</w:t>
      </w:r>
      <w:r>
        <w:rPr>
          <w:rFonts w:ascii="Arial" w:cs="Arial" w:eastAsia="Arial" w:hAnsi="Arial"/>
        </w:rPr>
        <w:t xml:space="preserve"> — </w:t>
      </w:r>
      <w:r>
        <w:rPr>
          <w:rStyle w:val="Campo"/>
          <w:rFonts w:ascii="Arial" w:cs="Arial" w:eastAsia="Arial" w:hAnsi="Arial"/>
        </w:rPr>
        <w:t xml:space="preserve">«legenda do esboço de tela»</w:t>
      </w:r>
      <w:r>
        <w:rPr>
          <w:rFonts w:ascii="Arial" w:cs="Arial" w:eastAsia="Arial" w:hAnsi="Arial"/>
        </w:rP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Especificação de Casos de Uso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Especificação de Casos de Uso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Casos de Uso</dc:title>
  <dc:creator>Universidade Estadual do Oeste do Paraná</dc:creator>
  <dc:description>Sistema de Gestão de Viagens — Especificação de Casos de Uso</dc:description>
  <cp:lastModifiedBy>Un-named</cp:lastModifiedBy>
  <cp:revision>1</cp:revision>
  <dcterms:created xsi:type="dcterms:W3CDTF">2026-08-24T13:58:18.579Z</dcterms:created>
  <dcterms:modified xsi:type="dcterms:W3CDTF">2026-08-24T13:58:18.579Z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