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274320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03965"/>
          <w:sz w:val="22"/>
          <w:szCs w:val="22"/>
        </w:rPr>
        <w:t xml:space="preserve">UNIVERSIDADE ESTADUAL DO OESTE DO PARANÁ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Centro de Engenharias e Ciências Exatas — Campus de Foz do Iguaçu</w:t>
      </w:r>
    </w:p>
    <w:p>
      <w:pPr>
        <w:spacing w:after="1000"/>
        <w:jc w:val="center"/>
      </w:pPr>
      <w:r>
        <w:rPr>
          <w:rFonts w:ascii="Arial" w:cs="Arial" w:eastAsia="Arial" w:hAnsi="Arial"/>
          <w:sz w:val="20"/>
          <w:szCs w:val="20"/>
        </w:rPr>
        <w:t xml:space="preserve">Curso de Ciência da Computação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F3F3F"/>
          <w:sz w:val="26"/>
          <w:szCs w:val="26"/>
        </w:rPr>
        <w:t xml:space="preserve">SISTEMA DE GESTÃO DE VIAGENS</w:t>
      </w:r>
    </w:p>
    <w:p>
      <w:pPr>
        <w:pBdr>
          <w:bottom w:val="single" w:color="B92D5A" w:sz="8" w:space="2"/>
        </w:pBdr>
        <w:spacing w:after="120" w:before="120"/>
        <w:jc w:val="center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503965"/>
          <w:spacing w:val="20"/>
          <w:sz w:val="40"/>
          <w:szCs w:val="40"/>
        </w:rPr>
        <w:t xml:space="preserve">ESPECIFICAÇÃO DE CLASSES DE SERVIÇO</w:t>
      </w:r>
    </w:p>
    <w:p>
      <w:pPr>
        <w:pBdr>
          <w:bottom w:val="single" w:color="B92D5A" w:sz="8" w:space="2"/>
        </w:pBdr>
        <w:spacing w:after="120" w:before="120"/>
        <w:jc w:val="center"/>
      </w:pPr>
      <w:r>
        <w:t xml:space="preserve"/>
      </w:r>
    </w:p>
    <w:p>
      <w:pPr>
        <w:spacing w:after="1000" w:before="160"/>
        <w:jc w:val="center"/>
      </w:pPr>
      <w:r>
        <w:rPr>
          <w:rFonts w:ascii="Arial" w:cs="Arial" w:eastAsia="Arial" w:hAnsi="Arial"/>
          <w:color w:val="6E6E6E"/>
          <w:sz w:val="20"/>
          <w:szCs w:val="20"/>
        </w:rPr>
        <w:t xml:space="preserve">Versão </w:t>
      </w:r>
      <w:r>
        <w:rPr>
          <w:rStyle w:val="Campo"/>
          <w:rFonts w:ascii="Arial" w:cs="Arial" w:eastAsia="Arial" w:hAnsi="Arial"/>
          <w:color w:val="6E6E6E"/>
          <w:sz w:val="20"/>
          <w:szCs w:val="20"/>
        </w:rPr>
        <w:t xml:space="preserve">«1.0»</w:t>
      </w:r>
      <w:r>
        <w:rPr>
          <w:rFonts w:ascii="Arial" w:cs="Arial" w:eastAsia="Arial" w:hAnsi="Arial"/>
          <w:color w:val="6E6E6E"/>
          <w:sz w:val="20"/>
          <w:szCs w:val="20"/>
        </w:rPr>
        <w:t xml:space="preserve"> — </w:t>
      </w:r>
      <w:r>
        <w:rPr>
          <w:rStyle w:val="Campo"/>
          <w:rFonts w:ascii="Arial" w:cs="Arial" w:eastAsia="Arial" w:hAnsi="Arial"/>
          <w:color w:val="6E6E6E"/>
          <w:sz w:val="20"/>
          <w:szCs w:val="20"/>
        </w:rPr>
        <w:t xml:space="preserve">«dd/mm/aaaa»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Disciplina: </w:t>
      </w:r>
      <w:r>
        <w:rPr>
          <w:rFonts w:ascii="Arial" w:cs="Arial" w:eastAsia="Arial" w:hAnsi="Arial"/>
          <w:sz w:val="20"/>
          <w:szCs w:val="20"/>
        </w:rPr>
        <w:t xml:space="preserve">Engenharia de Software II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Professor responsável: </w:t>
      </w:r>
      <w:r>
        <w:rPr>
          <w:rFonts w:ascii="Arial" w:cs="Arial" w:eastAsia="Arial" w:hAnsi="Arial"/>
          <w:sz w:val="20"/>
          <w:szCs w:val="20"/>
        </w:rPr>
        <w:t xml:space="preserve">Willian Francisco da Silva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Equipe: </w:t>
      </w:r>
      <w:r>
        <w:rPr>
          <w:rFonts w:ascii="Arial" w:cs="Arial" w:eastAsia="Arial" w:hAnsi="Arial"/>
          <w:sz w:val="20"/>
          <w:szCs w:val="20"/>
        </w:rPr>
        <w:t xml:space="preserve">Gustavo Neves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Dyogo Romagna Bendo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Davi Eduardo Nunes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Luiz Fernando Luth Junior</w:t>
      </w:r>
    </w:p>
    <w:p>
      <w:pPr>
        <w:spacing w:after="0" w:before="11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Foz do Iguaçu — PR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2026</w:t>
      </w:r>
    </w:p>
    <w:p>
      <w:r>
        <w:br w:type="page"/>
      </w:r>
    </w:p>
    <w:p>
      <w:pPr>
        <w:pStyle w:val="TituloSimples"/>
      </w:pPr>
      <w:r>
        <w:t xml:space="preserve">CONTROLE DO DOCUMENTO</w:t>
      </w:r>
    </w:p>
    <w:p>
      <w:pPr>
        <w:pStyle w:val="TituloBloco"/>
      </w:pPr>
      <w:r>
        <w:t xml:space="preserve">Identificação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800"/>
        <w:gridCol w:w="6271"/>
      </w:tblGrid>
      <w:tr>
        <w:trPr>
          <w:tblHeader/>
        </w:trPr>
        <w:tc>
          <w:tcPr>
            <w:tcW w:type="dxa" w:w="28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2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Projeto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 de Gestão de Viagens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Disciplina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Engenharia de Software II — Willian Francisco da Silva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Artefato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Especificação de Classes de Serviço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 atual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«1.0»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«Rascunho / Em revisão / Aprovado»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«nome»</w:t>
            </w:r>
          </w:p>
        </w:tc>
      </w:tr>
    </w:tbl>
    <w:p>
      <w:pPr>
        <w:pStyle w:val="TituloBloco"/>
      </w:pPr>
      <w:r>
        <w:t xml:space="preserve">Histórico de revisões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200"/>
        <w:gridCol w:w="1700"/>
        <w:gridCol w:w="4171"/>
        <w:gridCol w:w="2000"/>
      </w:tblGrid>
      <w:tr>
        <w:trPr>
          <w:tblHeader/>
        </w:trPr>
        <w:tc>
          <w:tcPr>
            <w:tcW w:type="dxa" w:w="12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</w:t>
            </w:r>
          </w:p>
        </w:tc>
        <w:tc>
          <w:tcPr>
            <w:tcW w:type="dxa" w:w="17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41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 da alteração</w:t>
            </w:r>
          </w:p>
        </w:tc>
        <w:tc>
          <w:tcPr>
            <w:tcW w:type="dxa" w:w="20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«1.0»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«dd/mm/aaaa»</w:t>
            </w:r>
          </w:p>
        </w:tc>
        <w:tc>
          <w:tcPr>
            <w:tcW w:type="dxa" w:w="41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«Versão inicial do documento»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«nome»</w:t>
            </w:r>
          </w:p>
        </w:tc>
      </w:tr>
      <w:tr>
        <w:tc>
          <w:tcPr>
            <w:tcW w:type="dxa" w:w="1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1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1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1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1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Legenda"/>
      </w:pPr>
      <w:r>
        <w:rPr>
          <w:rFonts w:ascii="Arial" w:cs="Arial" w:eastAsia="Arial" w:hAnsi="Arial"/>
        </w:rPr>
        <w:t xml:space="preserve">Toda alteração após a primeira entrega deve gerar uma nova linha nesta tabela.</w:t>
      </w:r>
    </w:p>
    <w:p>
      <w:pPr>
        <w:pStyle w:val="TituloBloco"/>
      </w:pPr>
      <w:r>
        <w:t xml:space="preserve">Aprovação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900"/>
        <w:gridCol w:w="2200"/>
        <w:gridCol w:w="1400"/>
        <w:gridCol w:w="2571"/>
      </w:tblGrid>
      <w:tr>
        <w:trPr>
          <w:tblHeader/>
        </w:trPr>
        <w:tc>
          <w:tcPr>
            <w:tcW w:type="dxa" w:w="29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22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Papel</w:t>
            </w:r>
          </w:p>
        </w:tc>
        <w:tc>
          <w:tcPr>
            <w:tcW w:type="dxa" w:w="14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25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Assinatura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5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9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4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5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5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Introdução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Finalidade do documento</w:t>
      </w:r>
    </w:p>
    <w:p>
      <w:pPr>
        <w:pStyle w:val="Orientacao"/>
      </w:pPr>
      <w:r>
        <w:rPr>
          <w:rFonts w:ascii="Arial" w:cs="Arial" w:eastAsia="Arial" w:hAnsi="Arial"/>
        </w:rPr>
        <w:t xml:space="preserve">Este documento especifica as classes de serviço — as classes limítrofes que expõem as operações do sistema ao mundo externo. Para cada serviço, define-se o que ele faz, o que recebe e o que devolve, formando o contrato entre a camada de apresentação e a camada de negócio.</w:t>
      </w:r>
    </w:p>
    <w:p>
      <w:r>
        <w:rPr>
          <w:rStyle w:val="Campo"/>
          <w:rFonts w:ascii="Arial" w:cs="Arial" w:eastAsia="Arial" w:hAnsi="Arial"/>
        </w:rPr>
        <w:t xml:space="preserve">«texto»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Como utilizar este modelo</w:t>
      </w:r>
    </w:p>
    <w:p>
      <w:pPr>
        <w:pStyle w:val="Orientacao"/>
      </w:pPr>
      <w:r>
        <w:rPr>
          <w:rFonts w:ascii="Arial" w:cs="Arial" w:eastAsia="Arial" w:hAnsi="Arial"/>
        </w:rPr>
        <w:t xml:space="preserve">Duplique o bloco “Classe de Serviço — Nome” uma vez para cada classe de serviço. Agrupe em uma mesma classe os serviços que atendem aos mesmos casos de uso. A numeração das seções e o sumário se atualizam sozinhos.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Convenções de nomenclatura</w:t>
      </w:r>
    </w:p>
    <w:p>
      <w:pPr>
        <w:pStyle w:val="Orientacao"/>
      </w:pPr>
      <w:r>
        <w:rPr>
          <w:rFonts w:ascii="Arial" w:cs="Arial" w:eastAsia="Arial" w:hAnsi="Arial"/>
        </w:rPr>
        <w:t xml:space="preserve">Registre aqui a convenção adotada pela equipe, para que todos os serviços fiquem coerentes entre si — por exemplo, verbo no infinitivo seguido do substantivo do domínio (obterPedidoVenda, incluirCliente, cancelarMatricula).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«convenção adotada»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Índice de classes de serviço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600"/>
        <w:gridCol w:w="3271"/>
        <w:gridCol w:w="1600"/>
        <w:gridCol w:w="1600"/>
      </w:tblGrid>
      <w:tr>
        <w:trPr>
          <w:tblHeader/>
        </w:trPr>
        <w:tc>
          <w:tcPr>
            <w:tcW w:type="dxa" w:w="26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Classe de serviço</w:t>
            </w:r>
          </w:p>
        </w:tc>
        <w:tc>
          <w:tcPr>
            <w:tcW w:type="dxa" w:w="32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atendidos</w:t>
            </w:r>
          </w:p>
        </w:tc>
        <w:tc>
          <w:tcPr>
            <w:tcW w:type="dxa" w:w="16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Nº de serviços</w:t>
            </w:r>
          </w:p>
        </w:tc>
        <w:tc>
          <w:tcPr>
            <w:tcW w:type="dxa" w:w="16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«ServicoX»</w:t>
            </w:r>
          </w:p>
        </w:tc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«UC01, UC02»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«3»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«Especificada»</w:t>
            </w:r>
          </w:p>
        </w:tc>
      </w:tr>
      <w:tr>
        <w:tc>
          <w:tcPr>
            <w:tcW w:type="dxa" w:w="2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Classe de Serviço </w:t>
      </w:r>
      <w:r>
        <w:rPr>
          <w:rStyle w:val="Campo"/>
          <w:rFonts w:ascii="Arial" w:cs="Arial" w:eastAsia="Arial" w:hAnsi="Arial"/>
        </w:rPr>
        <w:t xml:space="preserve">«Nome»</w:t>
      </w:r>
    </w:p>
    <w:p>
      <w:pPr>
        <w:pStyle w:val="Orientacao"/>
      </w:pPr>
      <w:r>
        <w:rPr>
          <w:rFonts w:ascii="Arial" w:cs="Arial" w:eastAsia="Arial" w:hAnsi="Arial"/>
        </w:rPr>
        <w:t xml:space="preserve">Repita este bloco inteiro para cada classe de serviço.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800"/>
        <w:gridCol w:w="6271"/>
      </w:tblGrid>
      <w:tr>
        <w:trPr>
          <w:tblHeader/>
        </w:trPr>
        <w:tc>
          <w:tcPr>
            <w:tcW w:type="dxa" w:w="28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2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Classe de serviço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«ServicoX»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Pacote / Módulo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«»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atendidos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«Manter Caso 1, Manter Caso 2»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 / Versão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«nome»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</w:t>
            </w: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«1.0»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Objetivo</w:t>
      </w:r>
    </w:p>
    <w:p>
      <w:pPr>
        <w:pStyle w:val="Orientacao"/>
      </w:pPr>
      <w:r>
        <w:rPr>
          <w:rFonts w:ascii="Arial" w:cs="Arial" w:eastAsia="Arial" w:hAnsi="Arial"/>
        </w:rPr>
        <w:t xml:space="preserve">Descreva em um parágrafo o papel desta classe de serviço: que conjunto coeso de operações ela agrupa e a que parte do sistema ela serve.</w:t>
      </w:r>
    </w:p>
    <w:p>
      <w:r>
        <w:rPr>
          <w:rStyle w:val="Campo"/>
          <w:rFonts w:ascii="Arial" w:cs="Arial" w:eastAsia="Arial" w:hAnsi="Arial"/>
        </w:rPr>
        <w:t xml:space="preserve">«texto»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Casos de Uso Atendidos</w:t>
      </w:r>
    </w:p>
    <w:p>
      <w:pPr>
        <w:pStyle w:val="Orientacao"/>
      </w:pPr>
      <w:r>
        <w:rPr>
          <w:rFonts w:ascii="Arial" w:cs="Arial" w:eastAsia="Arial" w:hAnsi="Arial"/>
        </w:rPr>
        <w:t xml:space="preserve">Relacione os casos de uso que consomem os serviços desta classe, garantindo a rastreabilidade com o documento de especificação de casos de uso.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3810"/>
        <w:gridCol w:w="5261"/>
      </w:tblGrid>
      <w:tr>
        <w:trPr>
          <w:tblHeader/>
        </w:trPr>
        <w:tc>
          <w:tcPr>
            <w:tcW w:type="dxa" w:w="381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526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Serviços utilizados</w:t>
            </w:r>
          </w:p>
        </w:tc>
      </w:tr>
      <w:tr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«UC01 — Manter Caso 1»</w:t>
            </w:r>
          </w:p>
        </w:tc>
        <w:tc>
          <w:tcPr>
            <w:tcW w:type="dxa" w:w="52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«obterPedidoVenda, incluirPedidoVenda»</w:t>
            </w:r>
          </w:p>
        </w:tc>
      </w:tr>
      <w:tr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526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52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526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Serviços</w:t>
      </w:r>
    </w:p>
    <w:p>
      <w:pPr>
        <w:pStyle w:val="Orientacao"/>
      </w:pPr>
      <w:r>
        <w:rPr>
          <w:rFonts w:ascii="Arial" w:cs="Arial" w:eastAsia="Arial" w:hAnsi="Arial"/>
        </w:rPr>
        <w:t xml:space="preserve">Um serviço por linha. Nos parâmetros, seja específico quanto ao que trafega: “Número do Pedido” diz mais que “código”, e a coluna de saída deve deixar claro se retorna um objeto, uma coleção ou apenas confirmação.</w:t>
      </w:r>
    </w:p>
    <w:p>
      <w:pPr>
        <w:pStyle w:val="Exemplo"/>
        <w:keepNext/>
        <w:spacing w:after="0"/>
      </w:pPr>
      <w:r>
        <w:rPr>
          <w:b/>
          <w:bCs/>
          <w:i/>
          <w:iCs/>
          <w:color w:val="6E6E6E"/>
          <w:sz w:val="19"/>
          <w:szCs w:val="19"/>
        </w:rPr>
        <w:t xml:space="preserve">Exemplo:</w:t>
      </w:r>
    </w:p>
    <w:p>
      <w:pPr>
        <w:pStyle w:val="Exemplo"/>
        <w:keepNext w:val="false"/>
      </w:pPr>
      <w:r>
        <w:rPr>
          <w:rFonts w:ascii="Arial" w:cs="Arial" w:eastAsia="Arial" w:hAnsi="Arial"/>
          <w:sz w:val="19"/>
          <w:szCs w:val="19"/>
        </w:rPr>
        <w:t xml:space="preserve">O exemplo abaixo, retirado do modelo da disciplina, mostra o nível de detalhe esperado nas colunas de objetivo e de parâmetros.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100"/>
        <w:gridCol w:w="2600"/>
        <w:gridCol w:w="2100"/>
        <w:gridCol w:w="2271"/>
      </w:tblGrid>
      <w:tr>
        <w:trPr>
          <w:tblHeader/>
        </w:trPr>
        <w:tc>
          <w:tcPr>
            <w:tcW w:type="dxa" w:w="21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Serviço</w:t>
            </w:r>
          </w:p>
        </w:tc>
        <w:tc>
          <w:tcPr>
            <w:tcW w:type="dxa" w:w="26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Objetivo</w:t>
            </w:r>
          </w:p>
        </w:tc>
        <w:tc>
          <w:tcPr>
            <w:tcW w:type="dxa" w:w="21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Parâmetros de entrada</w:t>
            </w:r>
          </w:p>
        </w:tc>
        <w:tc>
          <w:tcPr>
            <w:tcW w:type="dxa" w:w="22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Parâmetros de saída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«obterPedidoVenda»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«Retorna o conjunto de informações referentes a um pedido de venda já registrado.»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«Número do Pedido»</w:t>
            </w:r>
          </w:p>
        </w:tc>
        <w:tc>
          <w:tcPr>
            <w:tcW w:type="dxa" w:w="2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«Pedido de Venda + itens do pedido e produtos associados.»</w:t>
            </w:r>
          </w:p>
        </w:tc>
      </w:tr>
      <w:tr>
        <w:tc>
          <w:tcPr>
            <w:tcW w:type="dxa" w:w="21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1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1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1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1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1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Legenda"/>
      </w:pPr>
      <w:r>
        <w:rPr>
          <w:rFonts w:ascii="Arial" w:cs="Arial" w:eastAsia="Arial" w:hAnsi="Arial"/>
        </w:rPr>
        <w:t xml:space="preserve">Tabela </w:t>
      </w:r>
      <w:r>
        <w:rPr>
          <w:rStyle w:val="Campo"/>
          <w:rFonts w:ascii="Arial" w:cs="Arial" w:eastAsia="Arial" w:hAnsi="Arial"/>
        </w:rPr>
        <w:t xml:space="preserve">«n»</w:t>
      </w:r>
      <w:r>
        <w:rPr>
          <w:rFonts w:ascii="Arial" w:cs="Arial" w:eastAsia="Arial" w:hAnsi="Arial"/>
        </w:rPr>
        <w:t xml:space="preserve"> — Serviços expostos pela classe </w:t>
      </w:r>
      <w:r>
        <w:rPr>
          <w:rStyle w:val="Campo"/>
          <w:rFonts w:ascii="Arial" w:cs="Arial" w:eastAsia="Arial" w:hAnsi="Arial"/>
        </w:rPr>
        <w:t xml:space="preserve">«Nome»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Regras e Validações (opcional)</w:t>
      </w:r>
    </w:p>
    <w:p>
      <w:pPr>
        <w:pStyle w:val="Orientacao"/>
      </w:pPr>
      <w:r>
        <w:rPr>
          <w:rFonts w:ascii="Arial" w:cs="Arial" w:eastAsia="Arial" w:hAnsi="Arial"/>
        </w:rPr>
        <w:t xml:space="preserve">Regras de negócio e validações aplicadas pelos serviços antes de delegar à camada de domínio, com o erro devolvido quando a regra não é satisfeita.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100"/>
        <w:gridCol w:w="3971"/>
        <w:gridCol w:w="3000"/>
      </w:tblGrid>
      <w:tr>
        <w:trPr>
          <w:tblHeader/>
        </w:trPr>
        <w:tc>
          <w:tcPr>
            <w:tcW w:type="dxa" w:w="21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Serviço</w:t>
            </w:r>
          </w:p>
        </w:tc>
        <w:tc>
          <w:tcPr>
            <w:tcW w:type="dxa" w:w="39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Regra / validação</w:t>
            </w:r>
          </w:p>
        </w:tc>
        <w:tc>
          <w:tcPr>
            <w:tcW w:type="dxa" w:w="30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Retorno em caso de violação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1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9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1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9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Observações Gerais</w:t>
      </w:r>
    </w:p>
    <w:p>
      <w:pPr>
        <w:pStyle w:val="Orientacao"/>
      </w:pPr>
      <w:r>
        <w:rPr>
          <w:rFonts w:ascii="Arial" w:cs="Arial" w:eastAsia="Arial" w:hAnsi="Arial"/>
        </w:rPr>
        <w:t xml:space="preserve">Decisões de projeto, dependências externas, requisitos de desempenho ou segurança aplicáveis a esta classe de serviço, pontos em aberto.</w:t>
      </w:r>
    </w:p>
    <w:p>
      <w:r>
        <w:rPr>
          <w:rStyle w:val="Campo"/>
          <w:rFonts w:ascii="Arial" w:cs="Arial" w:eastAsia="Arial" w:hAnsi="Arial"/>
        </w:rPr>
        <w:t xml:space="preserve">«texto»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701" w:right="1134" w:bottom="1134" w:left="1701" w:header="680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71"/>
      <w:tblBorders>
        <w:top w:val="single" w:color="C9BCD1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471"/>
      <w:gridCol w:w="2600"/>
    </w:tblGrid>
    <w:tr>
      <w:tc>
        <w:tcPr>
          <w:tcW w:type="dxa" w:w="64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color w:val="6E6E6E"/>
              <w:sz w:val="17"/>
              <w:szCs w:val="17"/>
            </w:rPr>
            <w:t xml:space="preserve">Sistema de Gestão de Viagens — Especificação de Classes de Serviço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spacing w:after="0"/>
            <w:jc w:val="right"/>
          </w:pPr>
          <w:r>
            <w:rPr>
              <w:color w:val="6E6E6E"/>
              <w:sz w:val="17"/>
              <w:szCs w:val="17"/>
            </w:rPr>
            <w:t xml:space="preserve">Página </w:t>
          </w:r>
          <w:r>
            <w:rPr>
              <w:color w:val="6E6E6E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7"/>
              <w:szCs w:val="17"/>
            </w:rPr>
            <w:t xml:space="preserve"> de </w:t>
          </w:r>
          <w:r>
            <w:rPr>
              <w:color w:val="6E6E6E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1"/>
      <w:tblBorders>
        <w:top w:val="none" w:color="FFFFFF" w:sz="0"/>
        <w:left w:val="none" w:color="FFFFFF" w:sz="0"/>
        <w:bottom w:val="single" w:color="C9BCD1" w:sz="6"/>
        <w:right w:val="none" w:color="FFFFFF" w:sz="0"/>
        <w:insideH w:val="none" w:color="FFFFFF" w:sz="0"/>
        <w:insideV w:val="none" w:color="FFFFFF" w:sz="0"/>
      </w:tblBorders>
    </w:tblPr>
    <w:tblGrid>
      <w:gridCol w:w="2400"/>
      <w:gridCol w:w="6671"/>
    </w:tblGrid>
    <w:tr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spacing w:after="0"/>
            <w:jc w:val="left"/>
          </w:pPr>
          <w:r>
            <w:drawing>
              <wp:inline distT="0" distB="0" distL="0" distR="0">
                <wp:extent cx="1123950" cy="323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  <w:vAlign w:val="bottom"/>
        </w:tcPr>
        <w:p>
          <w:pPr>
            <w:spacing w:after="0"/>
            <w:jc w:val="right"/>
          </w:pPr>
          <w:r>
            <w:rPr>
              <w:caps/>
              <w:color w:val="6E6E6E"/>
              <w:spacing w:val="12"/>
              <w:sz w:val="17"/>
              <w:szCs w:val="17"/>
            </w:rPr>
            <w:t xml:space="preserve">Especificação de Classes de Serviço</w:t>
          </w:r>
        </w:p>
      </w:tc>
    </w:tr>
  </w:tbl>
  <w:p>
    <w:pPr>
      <w:spacing w:after="0" w:line="12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67" w:hanging="567"/>
      </w:pPr>
    </w:lvl>
    <w:lvl w:ilvl="1" w15:tentative="1">
      <w:start w:val="1"/>
      <w:numFmt w:val="decimal"/>
      <w:lvlText w:val="%1.%2."/>
      <w:lvlJc w:val="start"/>
      <w:pPr>
        <w:ind w:left="737" w:hanging="737"/>
      </w:pPr>
    </w:lvl>
    <w:lvl w:ilvl="2" w15:tentative="1">
      <w:start w:val="1"/>
      <w:numFmt w:val="decimal"/>
      <w:lvlText w:val="%1.%2.%3."/>
      <w:lvlJc w:val="start"/>
      <w:pPr>
        <w:ind w:left="907" w:hanging="907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spacing w:after="80"/>
        <w:ind w:left="567" w:hanging="227"/>
      </w:pPr>
    </w:lvl>
    <w:lvl w:ilvl="1" w15:tentative="1">
      <w:start w:val="1"/>
      <w:numFmt w:val="bullet"/>
      <w:lvlText w:val="–"/>
      <w:lvlJc w:val="start"/>
      <w:pPr>
        <w:spacing w:after="80"/>
        <w:ind w:left="1021" w:hanging="227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start"/>
      <w:pPr>
        <w:spacing w:after="80"/>
        <w:ind w:left="567" w:hanging="22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after="160" w:line="276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C9BCD1" w:sz="6" w:space="6"/>
      </w:pBdr>
      <w:spacing w:after="200" w:before="400"/>
      <w:jc w:val="left"/>
      <w:outlineLvl w:val="0"/>
    </w:pPr>
    <w:rPr>
      <w:rFonts w:ascii="Arial" w:cs="Arial" w:eastAsia="Arial" w:hAnsi="Arial"/>
      <w:b/>
      <w:bCs/>
      <w:color w:val="50396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jc w:val="left"/>
      <w:outlineLvl w:val="1"/>
    </w:pPr>
    <w:rPr>
      <w:rFonts w:ascii="Arial" w:cs="Arial" w:eastAsia="Arial" w:hAnsi="Arial"/>
      <w:b/>
      <w:bCs/>
      <w:color w:val="50396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20"/>
      <w:jc w:val="left"/>
      <w:outlineLvl w:val="2"/>
    </w:pPr>
    <w:rPr>
      <w:rFonts w:ascii="Arial" w:cs="Arial" w:eastAsia="Arial" w:hAnsi="Arial"/>
      <w:b/>
      <w:bCs/>
      <w:color w:val="3F3F3F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Orientacao">
    <w:name w:val="Orientacao"/>
    <w:basedOn w:val="Normal"/>
    <w:qFormat/>
    <w:pPr>
      <w:keepLines/>
      <w:pBdr>
        <w:left w:val="single" w:color="C9BCD1" w:sz="12" w:space="10"/>
      </w:pBdr>
      <w:spacing w:after="160" w:before="60" w:line="264" w:lineRule="auto"/>
      <w:ind w:left="227"/>
      <w:jc w:val="both"/>
    </w:pPr>
    <w:rPr>
      <w:rFonts w:ascii="Arial" w:cs="Arial" w:eastAsia="Arial" w:hAnsi="Arial"/>
      <w:i/>
      <w:iCs/>
      <w:color w:val="6E6E6E"/>
      <w:sz w:val="19"/>
      <w:szCs w:val="19"/>
    </w:rPr>
  </w:style>
  <w:style w:type="paragraph" w:styleId="Exemplo">
    <w:name w:val="Exemplo"/>
    <w:basedOn w:val="Normal"/>
    <w:qFormat/>
    <w:pPr>
      <w:keepLines/>
      <w:shd w:fill="F6F4F8" w:val="clear"/>
      <w:spacing w:after="120" w:before="60" w:line="264" w:lineRule="auto"/>
      <w:ind w:left="227" w:right="227"/>
      <w:jc w:val="both"/>
    </w:pPr>
    <w:rPr>
      <w:rFonts w:ascii="Arial" w:cs="Arial" w:eastAsia="Arial" w:hAnsi="Arial"/>
      <w:color w:val="3F3F3F"/>
      <w:sz w:val="19"/>
      <w:szCs w:val="19"/>
    </w:rPr>
  </w:style>
  <w:style w:type="paragraph" w:styleId="TituloSimples">
    <w:name w:val="TituloSimples"/>
    <w:basedOn w:val="Normal"/>
    <w:qFormat/>
    <w:pPr>
      <w:spacing w:after="320" w:before="200"/>
      <w:jc w:val="center"/>
    </w:pPr>
    <w:rPr>
      <w:rFonts w:ascii="Arial" w:cs="Arial" w:eastAsia="Arial" w:hAnsi="Arial"/>
      <w:b/>
      <w:bCs/>
      <w:color w:val="503965"/>
      <w:sz w:val="28"/>
      <w:szCs w:val="28"/>
    </w:rPr>
  </w:style>
  <w:style w:type="paragraph" w:styleId="TituloBloco">
    <w:name w:val="TituloBloco"/>
    <w:basedOn w:val="Normal"/>
    <w:qFormat/>
    <w:pPr>
      <w:spacing w:after="160" w:before="320"/>
      <w:jc w:val="left"/>
    </w:pPr>
    <w:rPr>
      <w:rFonts w:ascii="Arial" w:cs="Arial" w:eastAsia="Arial" w:hAnsi="Arial"/>
      <w:b/>
      <w:bCs/>
      <w:color w:val="503965"/>
      <w:sz w:val="24"/>
      <w:szCs w:val="24"/>
    </w:rPr>
  </w:style>
  <w:style w:type="paragraph" w:styleId="Legenda">
    <w:name w:val="Legenda"/>
    <w:basedOn w:val="Normal"/>
    <w:qFormat/>
    <w:pPr>
      <w:spacing w:after="260" w:before="40"/>
      <w:jc w:val="left"/>
    </w:pPr>
    <w:rPr>
      <w:rFonts w:ascii="Arial" w:cs="Arial" w:eastAsia="Arial" w:hAnsi="Arial"/>
      <w:color w:val="6E6E6E"/>
      <w:sz w:val="18"/>
      <w:szCs w:val="18"/>
    </w:rPr>
  </w:style>
  <w:style w:type="paragraph" w:styleId="CelulaCabecalho">
    <w:name w:val="CelulaCabecalho"/>
    <w:basedOn w:val="Normal"/>
    <w:pPr>
      <w:spacing w:after="60" w:before="60" w:line="240" w:lineRule="auto"/>
      <w:jc w:val="left"/>
    </w:pPr>
    <w:rPr>
      <w:rFonts w:ascii="Arial" w:cs="Arial" w:eastAsia="Arial" w:hAnsi="Arial"/>
      <w:b/>
      <w:bCs/>
      <w:color w:val="FFFFFF"/>
      <w:sz w:val="19"/>
      <w:szCs w:val="19"/>
    </w:rPr>
  </w:style>
  <w:style w:type="paragraph" w:styleId="Celula">
    <w:name w:val="Celula"/>
    <w:basedOn w:val="Normal"/>
    <w:pPr>
      <w:spacing w:after="50" w:before="50" w:line="240" w:lineRule="auto"/>
      <w:jc w:val="left"/>
    </w:pPr>
    <w:rPr>
      <w:rFonts w:ascii="Arial" w:cs="Arial" w:eastAsia="Arial" w:hAnsi="Arial"/>
      <w:sz w:val="19"/>
      <w:szCs w:val="19"/>
    </w:rPr>
  </w:style>
  <w:style w:type="character" w:styleId="Campo">
    <w:name w:val="Campo"/>
    <w:basedOn w:val="DefaultParagraphFont"/>
    <w:uiPriority w:val="99"/>
    <w:unhideWhenUsed/>
    <w:rPr>
      <w:color w:val="503965"/>
      <w:shd w:fill="EFE9F2" w:val="clear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df7fa0570d30711cfbae1aee7eed42a326f9ca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f3194dc75c6e6425caaae7a84db48cae6552631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Classes de Serviço</dc:title>
  <dc:creator>Universidade Estadual do Oeste do Paraná</dc:creator>
  <dc:description>Sistema de Gestão de Viagens — Especificação de Classes de Serviço</dc:description>
  <cp:lastModifiedBy>Un-named</cp:lastModifiedBy>
  <cp:revision>1</cp:revision>
  <dcterms:created xsi:type="dcterms:W3CDTF">2026-08-24T13:58:18.720Z</dcterms:created>
  <dcterms:modified xsi:type="dcterms:W3CDTF">2026-08-24T13:58:18.720Z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