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Criação da banco de dados do site;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clienteSite;-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idCliente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responsavel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empresa varchar(70),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cnpj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telefone varchar(30),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email varchar(30),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senha varchar(24)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Criação do banco de dados do dashboard;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DATABASE dashboard;-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cadastroCliente(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idClienteDash int PRIMARY KEY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responsavel varchar(50),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empresa varchar(70),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cnpj varchar(20),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telefone varchar(30),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email varchar(30),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senha varchar(24)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acessoDashboard(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idFuncionario int PRIMARY KEY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usuario varchar(30),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senha varchar(24),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nivelAcesso varchar(20),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CONSTRAINT chkNivelAcesso CHECK(nivelAcesso in('leitura', 'desenvolvimento'))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 auto_increment = 1000;-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INSERT INTO acessoDashboard (usuario, senha, nivelAcesso) VALUES ('Thawan', '123@al', 'leitura');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rack(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idRack int PRIMARY KEY auto_increment,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nomeRack varchar(240),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setor varchar(240),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modulo varchar(240),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dataCenter varchar(240)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 auto_increment = 10000;-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sensores(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idSensor int PRIMARY KEY auto_increment,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localizacao varchar(40),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dataLeitura DATETIME default current_timestamp,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temperatura char(10),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umidade char(10),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statusDoSensor varchar(25),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CONSTRAINT chkstatusDoSensor CHECK(statusDoSensor in('ativo', 'inativo'))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 auto_increment = 100000;-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INSERT INTO sensores(localizacao, temperatura, umidade, statusDoSensor) VALUES ('Rack 2', '23', '23', 'desativado');-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