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0" w:before="0"/>
      </w:pPr>
      <w:r>
        <w:t xml:space="preserve"/>
      </w:r>
    </w:p>
    <w:p>
      <w:pPr>
        <w:spacing w:after="60" w:before="200"/>
        <w:jc w:val="center"/>
      </w:pPr>
      <w:r>
        <w:rPr>
          <w:rFonts w:ascii="Arial" w:cs="Arial" w:eastAsia="Arial" w:hAnsi="Arial"/>
          <w:b/>
          <w:bCs/>
          <w:sz w:val="56"/>
          <w:szCs w:val="56"/>
        </w:rPr>
        <w:t xml:space="preserve">ATLAS RENOVÁVEL DO NORDESTE</w:t>
      </w:r>
    </w:p>
    <w:p>
      <w:pPr>
        <w:spacing w:after="0" w:before="0"/>
        <w:jc w:val="center"/>
      </w:pPr>
      <w:r>
        <w:rPr>
          <w:rFonts w:ascii="Arial" w:cs="Arial" w:eastAsia="Arial" w:hAnsi="Arial"/>
          <w:i/>
          <w:iCs/>
          <w:sz w:val="26"/>
          <w:szCs w:val="26"/>
        </w:rPr>
        <w:t xml:space="preserve">Mapeamento do Potencial de Geração de Energia Renovável com Aprendizado de Máquina</w:t>
      </w:r>
    </w:p>
    <w:p>
      <w:pPr>
        <w:spacing w:after="1200" w:before="0"/>
      </w:pPr>
      <w:r>
        <w:t xml:space="preserve"/>
      </w:r>
    </w:p>
    <w:p>
      <w:pPr>
        <w:spacing w:after="40" w:before="100"/>
        <w:jc w:val="center"/>
      </w:pPr>
      <w:r>
        <w:rPr>
          <w:rFonts w:ascii="Arial" w:cs="Arial" w:eastAsia="Arial" w:hAnsi="Arial"/>
          <w:sz w:val="22"/>
          <w:szCs w:val="22"/>
        </w:rPr>
        <w:t xml:space="preserve">Leonardo José Amaral de Méllo  •  Gustavo Carneiro</w:t>
      </w:r>
    </w:p>
    <w:p>
      <w:pPr>
        <w:spacing w:after="40" w:before="0"/>
        <w:jc w:val="center"/>
      </w:pPr>
      <w:r>
        <w:rPr>
          <w:rFonts w:ascii="Arial" w:cs="Arial" w:eastAsia="Arial" w:hAnsi="Arial"/>
          <w:sz w:val="20"/>
          <w:szCs w:val="20"/>
        </w:rPr>
        <w:t xml:space="preserve">CESAR School — Recife, Pernambuco, Brasil</w:t>
      </w:r>
    </w:p>
    <w:p>
      <w:pPr>
        <w:spacing w:after="200" w:before="0"/>
        <w:jc w:val="center"/>
      </w:pPr>
      <w:r>
        <w:rPr>
          <w:rFonts w:ascii="Arial" w:cs="Arial" w:eastAsia="Arial" w:hAnsi="Arial"/>
          <w:sz w:val="20"/>
          <w:szCs w:val="20"/>
        </w:rPr>
        <w:t xml:space="preserve">ljam2@cesar.school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Resumo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Este trabalho apresenta o Atlas Renovável do Nordeste, um sistema de aprendizado de máquina para mapeamento e previsão do potencial de geração de energia renovável solar, eólica e híbrida nos nove estados do Nordeste brasileiro. O índice IP-NE proposto estende a metodologia IP-PB (Ferreira et al., 2023) para escala regional, cobrindo 134 estações automáticas únicas do Instituto Nacional de Meteorologia (INMET) com dados de 2022 a 2025, totalizando 128.512 registros diários válidos. Cinco modelos de regressão supervisionada — KNN, Árvore de Decisão, Random Forest, AdaBoost e Multilayer Perceptron — são treinados com coordenadas geográficas (latitude e longitude) para prever irradiação solar, velocidade do vento e o índice IP-NE em qualquer ponto do Nordeste. A validação é realizada com Holdout 80/20, K-Fold (k=10) e Leave-One-Out (critério de seleção). Os experimentos são rastreados com MLflow e os resultados disponibilizados em dashboard Streamlit conteinerizado via Docker.</w:t>
      </w:r>
    </w:p>
    <w:p>
      <w:pPr>
        <w:spacing w:after="200" w:before="0"/>
      </w:pPr>
      <w: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1. Introdução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A crescente demanda global por energia elétrica e a urgência da transição para fontes limpas tornam as energias solar e eólica estratégicas para o desenvolvimento sustentável. Segundo o Global Wind Energy Council (GWEC), a capacidade eólica mundial atingiu 837 GW em 2022, evitando a emissão de 1,2 bilhão de toneladas de CO₂ [1]. No mesmo período, a capacidade solar instalada superou 1 TW pela primeira vez na história [2].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O Nordeste brasileiro ocupa posição privilegiada nesse cenário. A região recebe irradiação solar histórica média de 4,62 kWh/m²/dia nas suas estações meteorológicas automáticas, com pico de 7,52 kWh/m²/dia registrado em estações do interior da Bahia. O vento, por sua vez, atinge médias superiores a 8 m/s em pontos do litoral do Rio Grande do Norte, estado que já responde por parcela expressiva da geração eólica nacional [3].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Apesar desse potencial, a ausência de ferramentas acessíveis de mapeamento com cobertura regional dificulta o planejamento de investimentos em geração distribuída e novos parques de energia. Ferreira et al. (2023) propuseram o índice IP-PB para classificar municípios do estado da Paraíba quanto ao potencial híbrido de geração solar e eólica, utilizando dados públicos do INMET e da NASA POWER combinados com interpolação espacial via Kriging [4]. A abordagem, porém, se restringe a um único estado e depende da densidade de estações próximas para interpolação.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Este trabalho propõe o Atlas Renovável do Nordeste, que estende a metodologia IP-PB ao escopo dos nove estados da região Nordeste (AL, BA, CE, MA, PB, PE, PI, RN, SE) e substitui a interpolação espacial por modelos de aprendizado de máquina supervisionados. O sistema prediz irradiação solar, velocidade do vento e o índice IP-NE a partir de coordenadas geográficas, possibilitando estimar o potencial de qualquer ponto do Nordeste sem cobertura direta de estação meteorológica.</w:t>
      </w:r>
    </w:p>
    <w:p>
      <w:pPr>
        <w:spacing w:after="160" w:before="0"/>
      </w:pPr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Contribuições Principais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O índice IP-NE, extensão regional do IP-PB para os nove estados do Nordeste;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Um pipeline automatizado de coleta e processamento baseado em dados abertos do INMET (2022–2025);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Análise exploratória com oito visualizações que revelam padrões geográficos e climatológicos do potencial renovável regional;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Comparação sistemática de cinco algoritmos de ML com três estratégias de validação;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Dashboard interativo e solução conteinerizada via Docker para reprodutibilidade.</w:t>
      </w:r>
    </w:p>
    <w:p>
      <w:pPr>
        <w:spacing w:after="200" w:before="0"/>
      </w:pPr>
      <w: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2. Trabalhos Relacionados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Ferreira et al. (2023) desenvolveram o índice IP-PB (Paraíba's Hybrid Generation Potential Index) para ranquear municípios do estado da Paraíba quanto ao potencial de geração solar, eólica e híbrida [4]. A metodologia coleta dados horários de estações automáticas do INMET e do satélite NASA POWER, aplica filtros de qualidade, remoção de valores 9999 (falha de sensor) e janela horária 05h–18h UTC, e calcula médias históricas de irradiação solar (kWh/m²/dia) e velocidade do vento a 10 m (m/s). O índice é calculado como a distância euclidiana entre os valores normalizados de ambas as variáveis no espaço [0,1]×[0,1], com valor máximo teórico de √2 ≈ 1,4142.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Para geração de dados em pontos sem estação, os autores avaliaram IDW (Inverse Distance Weighted) e Kriging. O Kriging apresentou melhor desempenho (RMSE = 0,04 kWh/m², R² = 0,89 para irradiação solar) e foi adotado para criar um grid de 2.054 pontos com resolução de 0,05° sobre o estado da Paraíba [4].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O presente trabalho estende essa metodologia em duas dimensões: (i) escala regional — todos os nove estados do Nordeste, com 134 estações únicas e cobertura de 128.512 registros diários válidos; (ii) abordagem preditiva — modelos de ML supervisionados substituem a interpolação espacial, aprendendo a relação entre coordenadas geográficas e potencial renovável a partir dos dados históricos das estações existentes.</w:t>
      </w:r>
    </w:p>
    <w:p>
      <w:pPr>
        <w:spacing w:after="200" w:before="0"/>
      </w:pPr>
      <w: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3. Metodologia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3.1 Coleta e Processamento de Dados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Os dados foram coletados das estações automáticas do INMET pelo portal de dados históricos. A coleta abrange os anos de 2022 a 2025, filtrando as estações dos nove estados do Nordeste. O processamento replica a metodologia de Ferreira et al. (2023) [4]: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Remoção de outliers: registros com valor 9999 (falha de sensor) são descartados;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Filtro horário: apenas registros entre 05h e 18h UTC são considerados;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Conversão de unidades: irradiação de kJ/m² para kWh/m²/dia;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Médias históricas: para cada estação, calcula-se a média histórica de SOLAR_IRRAD e WIND_SPEED ponderada pela quantidade de dias válidos por ano;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Deduplicação: estações com o mesmo código WMO foram agregadas por COD_WMO, resultando em 134 estações únicas (reduzido de 155 registros originais com quasi-duplicatas).</w:t>
      </w:r>
    </w:p>
    <w:p>
      <w:pPr>
        <w:spacing w:after="120" w:before="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3.2 Índice IP-NE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O Índice de Potencial do Nordeste (IP-NE) é definido de forma análoga ao IP-PB [4]. Para cada estação, os valores históricos são normalizados pelo máximo e mínimo do conjunto regional, conforme a Equação (1). O IP-NE é então a distância euclidiana no espaço normalizado, conforme a Equação (2):</w:t>
      </w:r>
    </w:p>
    <w:p>
      <w:pPr>
        <w:spacing w:after="60" w:before="120"/>
        <w:jc w:val="center"/>
      </w:pPr>
      <w:r>
        <w:rPr>
          <w:rFonts w:ascii="Arial Narrow" w:cs="Arial Narrow" w:eastAsia="Arial Narrow" w:hAnsi="Arial Narrow"/>
          <w:i/>
          <w:iCs/>
          <w:sz w:val="22"/>
          <w:szCs w:val="22"/>
        </w:rPr>
        <w:t xml:space="preserve">Z_norm = (Z − Z_min) / (Z_max − Z_min)  (1)</w:t>
      </w:r>
    </w:p>
    <w:p>
      <w:pPr>
        <w:spacing w:after="120" w:before="60"/>
        <w:jc w:val="center"/>
      </w:pPr>
      <w:r>
        <w:rPr>
          <w:rFonts w:ascii="Arial Narrow" w:cs="Arial Narrow" w:eastAsia="Arial Narrow" w:hAnsi="Arial Narrow"/>
          <w:i/>
          <w:iCs/>
          <w:sz w:val="22"/>
          <w:szCs w:val="22"/>
        </w:rPr>
        <w:t xml:space="preserve">IP_NE = √(WIND_NORM² + SOLAR_NORM²)  (2)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O valor máximo teórico é √2 ≈ 1,4142, atingido pela estação com máxima irradiação e máximo vento simultaneamente.</w:t>
      </w:r>
    </w:p>
    <w:p>
      <w:pPr>
        <w:spacing w:after="120" w:before="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3.3 Features e Alvos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O problema é formulado como regressão espacial: dado um conjunto de coordenadas geográficas, prever o potencial de geração renovável da localidade. A altitude foi descartada após análise de ablação (Seção 6.1), que demonstrou redução de R² em todos os alvos quando ALT é incluída. Os modelos finais utilizam apenas LAT e LON como features.</w:t>
      </w:r>
    </w:p>
    <w:p>
      <w:pPr>
        <w:spacing w:after="120" w:before="0"/>
      </w:pPr>
      <w:r>
        <w:t xml:space="preserve"/>
      </w:r>
    </w:p>
    <w:p>
      <w:pPr>
        <w:spacing w:after="80" w:before="80"/>
        <w:jc w:val="center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Tabela 1. Features e alvos do problema de regressão.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800"/>
        <w:gridCol w:w="3626"/>
        <w:gridCol w:w="2100"/>
      </w:tblGrid>
      <w:tr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Tipo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Variável</w:t>
            </w:r>
          </w:p>
        </w:tc>
        <w:tc>
          <w:tcPr>
            <w:tcW w:type="dxa" w:w="36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Descrição</w:t>
            </w:r>
          </w:p>
        </w:tc>
        <w:tc>
          <w:tcPr>
            <w:tcW w:type="dxa" w:w="2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Unidade</w:t>
            </w:r>
          </w:p>
        </w:tc>
      </w:tr>
      <w:tr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Feature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LAT</w:t>
            </w:r>
          </w:p>
        </w:tc>
        <w:tc>
          <w:tcPr>
            <w:tcW w:type="dxa" w:w="36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Latitude</w:t>
            </w:r>
          </w:p>
        </w:tc>
        <w:tc>
          <w:tcPr>
            <w:tcW w:type="dxa" w:w="2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graus decimais</w:t>
            </w:r>
          </w:p>
        </w:tc>
      </w:tr>
      <w:tr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Feature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LON</w:t>
            </w:r>
          </w:p>
        </w:tc>
        <w:tc>
          <w:tcPr>
            <w:tcW w:type="dxa" w:w="36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Longitude</w:t>
            </w:r>
          </w:p>
        </w:tc>
        <w:tc>
          <w:tcPr>
            <w:tcW w:type="dxa" w:w="2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graus decimais</w:t>
            </w:r>
          </w:p>
        </w:tc>
      </w:tr>
      <w:tr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Alvo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SOLAR_IRRAD</w:t>
            </w:r>
          </w:p>
        </w:tc>
        <w:tc>
          <w:tcPr>
            <w:tcW w:type="dxa" w:w="36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Irradiação solar histórica média</w:t>
            </w:r>
          </w:p>
        </w:tc>
        <w:tc>
          <w:tcPr>
            <w:tcW w:type="dxa" w:w="2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kWh/m²/dia</w:t>
            </w:r>
          </w:p>
        </w:tc>
      </w:tr>
      <w:tr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Alvo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WIND_SPEED</w:t>
            </w:r>
          </w:p>
        </w:tc>
        <w:tc>
          <w:tcPr>
            <w:tcW w:type="dxa" w:w="36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Velocidade do vento histórica média</w:t>
            </w:r>
          </w:p>
        </w:tc>
        <w:tc>
          <w:tcPr>
            <w:tcW w:type="dxa" w:w="2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m/s</w:t>
            </w:r>
          </w:p>
        </w:tc>
      </w:tr>
      <w:tr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Alvo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IP_NE</w:t>
            </w:r>
          </w:p>
        </w:tc>
        <w:tc>
          <w:tcPr>
            <w:tcW w:type="dxa" w:w="36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Índice de Potencial do Nordeste</w:t>
            </w:r>
          </w:p>
        </w:tc>
        <w:tc>
          <w:tcPr>
            <w:tcW w:type="dxa" w:w="2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adimensional [0; √2]</w:t>
            </w:r>
          </w:p>
        </w:tc>
      </w:tr>
    </w:tbl>
    <w:p>
      <w:pPr>
        <w:spacing w:after="200" w:before="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3.4 Modelos de Aprendizado de Máquina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Cinco modelos supervisionados de regressão são treinados e comparados: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KNN: predição por vizinhança geográfica; k, weights e metric otimizados com GridSearchCV;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Árvore de Decisão: particionamento do espaço geográfico; max_depth e min_samples_split com GridSearchCV;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Random Forest: ensemble de árvores; n_estimators e max_depth com GridSearchCV;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AdaBoost: boosting adaptativo; n_estimators e learning_rate com GridSearchCV;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MLP: rede neural densa; hidden_layer_sizes, activation e alpha com RandomizedSearchCV.</w:t>
      </w:r>
    </w:p>
    <w:p>
      <w:pPr>
        <w:spacing w:after="120" w:before="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3.5 Estratégias de Validação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Três estratégias são aplicadas, justificadas pelo tamanho reduzido do dataset (N = 134). O Leave-One-Out (LOO) é adotado como critério de seleção do melhor modelo, por ser a estimativa de generalização mais estável para esse tamanho amostral. O R² por fold do K-Fold (k=10, ~13 amostras/fold) apresenta variância muito alta e não serve como critério de seleção.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Holdout 80/20 com seed fixo (42): linha de base rápida;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K-Fold (k=10): média e desvio padrão de R², MAE e RMSE para estimativa com menor variância;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Leave-One-Out (LOO): cada estação é removida uma vez como teste; métrica de seleção para N pequeno.</w:t>
      </w:r>
    </w:p>
    <w:p>
      <w:pPr>
        <w:spacing w:after="200" w:before="0"/>
      </w:pPr>
      <w: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4. Conjunto de Dados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Após a coleta e processamento descritos na Seção 3.1, o dataset final contém 134 estações automáticas únicas distribuídas pelos nove estados do Nordeste, com 128.512 registros diários válidos (média de 3,1 anos por estação no período 2022–2025). Estações com o mesmo código WMO, que apareciam duplicadas com pequenas variações de coordenada ou grafia, foram agregadas para evitar vazamento de informação na validação por Leave-One-Out.</w:t>
      </w:r>
    </w:p>
    <w:p>
      <w:pPr>
        <w:spacing w:after="120" w:before="0"/>
      </w:pPr>
      <w:r>
        <w:t xml:space="preserve"/>
      </w:r>
    </w:p>
    <w:p>
      <w:pPr>
        <w:spacing w:after="80" w:before="80"/>
        <w:jc w:val="center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Tabela 2. Distribuição de estações e médias climatológicas por estado (INMET, 2022–2025).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600"/>
        <w:gridCol w:w="2000"/>
        <w:gridCol w:w="1600"/>
        <w:gridCol w:w="1826"/>
        <w:gridCol w:w="1200"/>
      </w:tblGrid>
      <w:tr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UF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Estações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Solar Médio
(kWh/m²/dia)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Vento Médio
(m/s)</w:t>
            </w:r>
          </w:p>
        </w:tc>
        <w:tc>
          <w:tcPr>
            <w:tcW w:type="dxa" w:w="18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IP-NE
Mediana</w:t>
            </w:r>
          </w:p>
        </w:tc>
      </w:tr>
      <w:tr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AL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4,66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2,43</w:t>
            </w:r>
          </w:p>
        </w:tc>
        <w:tc>
          <w:tcPr>
            <w:tcW w:type="dxa" w:w="18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0,614</w:t>
            </w:r>
          </w:p>
        </w:tc>
      </w:tr>
      <w:tr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BA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52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4,56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2,31</w:t>
            </w:r>
          </w:p>
        </w:tc>
        <w:tc>
          <w:tcPr>
            <w:tcW w:type="dxa" w:w="18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0,572</w:t>
            </w:r>
          </w:p>
        </w:tc>
      </w:tr>
      <w:tr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CE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18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4,19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2,74</w:t>
            </w:r>
          </w:p>
        </w:tc>
        <w:tc>
          <w:tcPr>
            <w:tcW w:type="dxa" w:w="18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0,643</w:t>
            </w:r>
          </w:p>
        </w:tc>
      </w:tr>
      <w:tr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MA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13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4,36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1,85</w:t>
            </w:r>
          </w:p>
        </w:tc>
        <w:tc>
          <w:tcPr>
            <w:tcW w:type="dxa" w:w="18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0,529</w:t>
            </w:r>
          </w:p>
        </w:tc>
      </w:tr>
      <w:tr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PB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12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4,95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2,39</w:t>
            </w:r>
          </w:p>
        </w:tc>
        <w:tc>
          <w:tcPr>
            <w:tcW w:type="dxa" w:w="18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0,691</w:t>
            </w:r>
          </w:p>
        </w:tc>
      </w:tr>
      <w:tr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PE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14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4,78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2,72</w:t>
            </w:r>
          </w:p>
        </w:tc>
        <w:tc>
          <w:tcPr>
            <w:tcW w:type="dxa" w:w="18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0,648</w:t>
            </w:r>
          </w:p>
        </w:tc>
      </w:tr>
      <w:tr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PI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26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4,67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2,24</w:t>
            </w:r>
          </w:p>
        </w:tc>
        <w:tc>
          <w:tcPr>
            <w:tcW w:type="dxa" w:w="18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0,631</w:t>
            </w:r>
          </w:p>
        </w:tc>
      </w:tr>
      <w:tr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RN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8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5,03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3,93</w:t>
            </w:r>
          </w:p>
        </w:tc>
        <w:tc>
          <w:tcPr>
            <w:tcW w:type="dxa" w:w="18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0,764</w:t>
            </w:r>
          </w:p>
        </w:tc>
      </w:tr>
      <w:tr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SE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5,26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2,94</w:t>
            </w:r>
          </w:p>
        </w:tc>
        <w:tc>
          <w:tcPr>
            <w:tcW w:type="dxa" w:w="18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0,646</w:t>
            </w:r>
          </w:p>
        </w:tc>
      </w:tr>
      <w:tr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Total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134*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4,62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2,46</w:t>
            </w:r>
          </w:p>
        </w:tc>
        <w:tc>
          <w:tcPr>
            <w:tcW w:type="dxa" w:w="18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0,613</w:t>
            </w:r>
          </w:p>
        </w:tc>
      </w:tr>
    </w:tbl>
    <w:p>
      <w:pPr>
        <w:spacing w:after="120" w:before="60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* Após deduplicação por COD_WMO (total original: 155 registros).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A irradiação solar varia de 1,39 a 7,52 kWh/m²/dia e a velocidade do vento de 0,35 a 8,02 m/s. O Rio Grande do Norte destaca-se com o maior vento médio (3,93 m/s) e maior IP-NE mediano (0,764), enquanto Sergipe apresenta a maior irradiação solar média (5,26 kWh/m²/dia). O Maranhão registra os menores índices em ambas as dimensões, refletindo sua posição geográfica de transição entre o Nordeste semiárido e a Amazônia.</w:t>
      </w:r>
    </w:p>
    <w:p>
      <w:pPr>
        <w:spacing w:after="200" w:before="0"/>
      </w:pPr>
      <w: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5. Análise Exploratória de Dados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A análise exploratória foi realizada no notebook notebooks/01_eda.ipynb e produziu oito visualizações. As mais relevantes são descritas a seguir.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5.1 Distribuição Geográfica das Estações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A Figura 1 apresenta a distribuição geográfica das 134 estações coloridas por irradiação solar e velocidade do vento. O painel esquerdo evidencia que os maiores valores de irradiação (tons avermelhados) concentram-se no interior do Nordeste — em especial no Piauí, interior da Bahia e sul do Maranhão. O painel direito mostra que o vento mais intenso (tons mais escuros) ocorre predominantemente no litoral do Rio Grande do Norte e Ceará, padrão coerente com a localização dos principais parques eólicos já instalados nessas regiões.</w:t>
      </w:r>
    </w:p>
    <w:p>
      <w:pPr>
        <w:spacing w:after="80" w:before="80"/>
        <w:jc w:val="center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[Inserir Figura 1 — notebooks/fig02_mapa_solar_vento.png]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5.2 Distribuição por Estado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A Figura 2 apresenta boxplots de irradiação solar e velocidade do vento por estado. O Rio Grande do Norte apresenta a maior mediana de vento (3,93 m/s) com menor dispersão, indicando consistência do recurso eólico. Sergipe e Paraíba lideram em irradiação solar. O Maranhão apresenta os menores valores em ambas as variáveis, com distribuição mais compacta.</w:t>
      </w:r>
    </w:p>
    <w:p>
      <w:pPr>
        <w:spacing w:after="80" w:before="80"/>
        <w:jc w:val="center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[Inserir Figura 2 — notebooks/fig03_boxplot_solar_vento_uf.png]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5.3 Diagrama IP-NE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A Figura 3 reproduz o diagrama IP-NE adaptado de Ferreira et al. (2023) para o contexto regional. Cada ponto representa uma estação posicionada no espaço de vento normalizado (eixo X) e solar normalizado (eixo Y). As medianas regionais dividem o gráfico em quatro quadrantes. Das 134 estações, 46 (29,7%) pertencem ao quadrante Bom Solar / Bom Vento, indicando potencial elevado para geração híbrida. Observa-se que as estações do RN tendem a migrar para a direita (alto vento), enquanto estações do PI e interior da BA concentram-se no topo (alta irradiação).</w:t>
      </w:r>
    </w:p>
    <w:p>
      <w:pPr>
        <w:spacing w:after="80" w:before="80"/>
        <w:jc w:val="center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[Inserir Figura 3 — notebooks/fig04_ipne_scatter.png]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5.4 Ranking IP-NE por Estado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A Figura 4 apresenta os boxplots do IP-NE por estado, ordenados por mediana decrescente. O Rio Grande do Norte lidera com mediana de 0,764, seguido de Paraíba (0,691) e Pernambuco (0,648). O Maranhão tem a menor mediana (0,529). Esses resultados são coerentes com os padrões identificados no artigo original [4] para a Paraíba e com o conhecimento do setor energético sobre as vocações de cada estado.</w:t>
      </w:r>
    </w:p>
    <w:p>
      <w:pPr>
        <w:spacing w:after="80" w:before="80"/>
        <w:jc w:val="center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[Inserir Figura 4 — notebooks/fig05_ipne_por_estado.png]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5.5 Top 10 Estações</w:t>
      </w:r>
    </w:p>
    <w:p>
      <w:pPr>
        <w:spacing w:after="80" w:before="80"/>
        <w:jc w:val="center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Tabela 3. Ranking das 10 estações com maior IP-NE.</w:t>
      </w:r>
    </w:p>
    <w:tbl>
      <w:tblPr>
        <w:tblW w:type="dxa" w:w="7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000"/>
        <w:gridCol w:w="600"/>
        <w:gridCol w:w="1800"/>
        <w:gridCol w:w="1200"/>
        <w:gridCol w:w="1200"/>
      </w:tblGrid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Rank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Estação</w:t>
            </w:r>
          </w:p>
        </w:tc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UF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Solar (kWh/m²/d)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Vento (m/s)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IP-NE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Calcanhar</w:t>
            </w:r>
          </w:p>
        </w:tc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RN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4,583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8,015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1,128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Ipiáu</w:t>
            </w:r>
          </w:p>
        </w:tc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BA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7,516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1,384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1,009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Brejo Grande</w:t>
            </w:r>
          </w:p>
        </w:tc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SE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7,261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2,627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1,003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Guanambi</w:t>
            </w:r>
          </w:p>
        </w:tc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BA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6,622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4,008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0,978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Macau</w:t>
            </w:r>
          </w:p>
        </w:tc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RN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5,244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5,077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0,881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Itaporanga</w:t>
            </w:r>
          </w:p>
        </w:tc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PB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6,506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2,346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0,875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Paulistana</w:t>
            </w:r>
          </w:p>
        </w:tc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PI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6,068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3,507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0,868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8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Tianguá</w:t>
            </w:r>
          </w:p>
        </w:tc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CE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5,292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4,640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0,848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9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Paulistana*</w:t>
            </w:r>
          </w:p>
        </w:tc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PI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6,092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3,093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0,847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10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Surubim</w:t>
            </w:r>
          </w:p>
        </w:tc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PE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5,675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3,777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0,830</w:t>
            </w:r>
          </w:p>
        </w:tc>
      </w:tr>
    </w:tbl>
    <w:p>
      <w:pPr>
        <w:spacing w:after="100" w:before="60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* Paulistana aparece duas vezes pois originalmente constava com dois registros quasi-duplicados no dataset; ambos mantidos no ranking para referência.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A estação de Calcanhar (RN) lidera pelo vento excepcional (8,015 m/s), sendo o único ponto com velocidade acima de 8 m/s no dataset. Ipiáu (BA) e Brejo Grande (SE) se destacam pela irradiação solar superior a 7 kWh/m²/dia. Essas estações são candidatas prioritárias para validação dos modelos de ML e referência para planejamento de investimentos.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5.6 Correlações com as Features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A análise de correlação revelou que a latitude apresenta correlação de −0,013 com a irradiação solar e +0,162 com a velocidade do vento, enquanto a altitude tem correlação de −0,037 com a irradiação. As baixas correlações lineares não implicam ausência de relação — modelos não-lineares como Random Forest e MLP são capazes de capturar padrões geográficos mais complexos entre coordenadas e potencial renovável, o que justifica a abordagem de ML para esse problema.</w:t>
      </w:r>
    </w:p>
    <w:p>
      <w:pPr>
        <w:spacing w:after="80" w:before="80"/>
        <w:jc w:val="center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[Inserir Figura 5 — notebooks/fig07_heatmap_correlacao.png]</w:t>
      </w:r>
    </w:p>
    <w:p>
      <w:pPr>
        <w:spacing w:after="200" w:before="0"/>
      </w:pPr>
      <w: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6. Resultados e Discussão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A modelagem foi conduzida em src/train.py (pipeline com MLflow) e em notebooks/02_modeling.ipynb. Cinco regressores foram treinados para cada um dos três alvos, com busca de hiperparâmetros (GridSearchCV/RandomizedSearchCV, 5-fold) e avaliados por Holdout 80/20, K-Fold (k=10) e Leave-One-Out (LOO).</w:t>
      </w:r>
    </w:p>
    <w:p>
      <w:pPr>
        <w:spacing w:after="120" w:before="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6.1 Desempenho dos Modelos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A Tabela 4 apresenta o R², MAE e RMSE de Leave-One-Out (métrica de seleção) para os cinco modelos e três alvos. O melhor modelo de cada alvo está indicado com ★.</w:t>
      </w:r>
    </w:p>
    <w:p>
      <w:pPr>
        <w:spacing w:after="120" w:before="0"/>
      </w:pPr>
      <w:r>
        <w:t xml:space="preserve"/>
      </w:r>
    </w:p>
    <w:p>
      <w:pPr>
        <w:spacing w:after="80" w:before="80"/>
        <w:jc w:val="center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Tabela 4. Desempenho por Leave-One-Out (134 estações, features LAT/LON).</w:t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1200"/>
        <w:gridCol w:w="1200"/>
        <w:gridCol w:w="1200"/>
      </w:tblGrid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Alvo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Modelo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R² (LOO)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MAE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RMSE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Irradiação Solar (kWh/m²/dia)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KNN ★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0,062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0,635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0,869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Random Forest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0,036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0,650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0,881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AdaBoost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0,035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0,655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0,881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MLP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−0,121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0,681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0,950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Árvore de Decisão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−0,165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0,730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0,968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Velocidade do Vento (m/s)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KNN ★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0,154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0,586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0,851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Random Forest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0,147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0,586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0,855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AdaBoost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0,096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0,608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0,880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MLP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0,088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0,613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0,884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Árvore de Decisão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−0,209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0,688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1,017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Índice IP-NE (adimensional)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Random Forest ★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0,086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0,106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0,141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AdaBoost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0,038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0,109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0,145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KNN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0,031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0,107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0,145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Árvore de Decisão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−0,069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0,114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0,152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MLP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−0,083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0,117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0,153</w:t>
            </w:r>
          </w:p>
        </w:tc>
      </w:tr>
    </w:tbl>
    <w:p>
      <w:pPr>
        <w:spacing w:after="160" w:before="0"/>
      </w:pPr>
      <w:r>
        <w:t xml:space="preserve"/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Hiperparâmetros dos melhores modelos: Solar — KNN (k=11, distância Manhattan, pesos por distância); Vento — KNN (k=11, distância Euclidiana, pesos uniformes); IP-NE — Random Forest (500 árvores, profundidade máx. 10).</w:t>
      </w:r>
    </w:p>
    <w:p>
      <w:pPr>
        <w:spacing w:after="120" w:before="0"/>
      </w:pPr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Importância por Ablação — Justificativa de Descartar ALT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A Tabela 5 compara o R² (LOO, Random Forest) com e sem a altitude. Em todos os alvos, adicionar ALT piora o resultado — por isso os modelos finais usam apenas LAT/LON (Figura 6).</w:t>
      </w:r>
    </w:p>
    <w:p>
      <w:pPr>
        <w:spacing w:after="120" w:before="0"/>
      </w:pPr>
      <w:r>
        <w:t xml:space="preserve"/>
      </w:r>
    </w:p>
    <w:p>
      <w:pPr>
        <w:spacing w:after="80" w:before="80"/>
        <w:jc w:val="center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Tabela 5. Ablação da altitude (R² LOO, Random Forest).</w:t>
      </w:r>
    </w:p>
    <w:tbl>
      <w:tblPr>
        <w:tblW w:type="dxa" w:w="7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000"/>
        <w:gridCol w:w="2400"/>
      </w:tblGrid>
      <w:tr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Alvo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LAT/LON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LAT/LON/ALT</w:t>
            </w:r>
          </w:p>
        </w:tc>
      </w:tr>
      <w:tr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Irradiação Solar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0,031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−0,084</w:t>
            </w:r>
          </w:p>
        </w:tc>
      </w:tr>
      <w:tr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Velocidade do Vento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0,163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0,089</w:t>
            </w:r>
          </w:p>
        </w:tc>
      </w:tr>
      <w:tr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Índice IP-NE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0,076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−0,051</w:t>
            </w:r>
          </w:p>
        </w:tc>
      </w:tr>
    </w:tbl>
    <w:p>
      <w:pPr>
        <w:spacing w:after="120" w:before="80"/>
        <w:jc w:val="center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[Inserir Figura 6 — reports/fig11_ablacao_altitude.png]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Discussão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Os resultados revelam um padrão fisicamente coerente: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 velocidade do vento é o alvo mais previsível a partir de coordenadas (R² LOO ≈ 0,15): o recurso eólico tem forte estrutura espacial no Nordeste (corredores litorâneos do RN/CE vs. interior), que os modelos capturam.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 irradiação solar é praticamente não-previsível por coordenadas em escala regional (R² LOO ≈ 0,06): o semiárido é uniformemente ensolarado, restando pouca variância espacial de larga escala para os modelos aprenderem. Isso não contradiz o R² = 0,89 do Kriging de Ferreira et al. (2023): aquele valor foi obtido em um único estado (Paraíba), com grade densa e validação por interpolação — cenário muito mais favorável que o Leave-One-Out inter-regional adotado aqui.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O IP-NE (R² LOO ≈ 0,09) fica entre os dois, por combinar as duas variáveis.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Os modelos baseados em vizinhança/ensemble (KNN, Random Forest) superam consistentemente Árvore de Decisão única e MLP, coerente com a natureza espacial do problema e o tamanho reduzido do dataset.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K-Fold × LOO: o R² por fold do K-Fold (k=10) é instável e majoritariamente negativo (folds de ~13 estações), enquanto o LOO — que agrega as 134 previsões em um único R² — é positivo e estável. Isso confirma o LOO como a métrica adequada para N pequeno (Seção 3.5).</w:t>
      </w:r>
    </w:p>
    <w:p>
      <w:pPr>
        <w:spacing w:after="120" w:before="0"/>
      </w:pPr>
      <w:r>
        <w:t xml:space="preserve"/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Apesar dos valores absolutos modestos de R², as previsões reproduzem o gradiente regional conhecido: pontos no litoral do RN recebem IP-NE elevado (~0,79) e o sul do Maranhão, baixo (~0,55), em linha com a análise exploratória.</w:t>
      </w:r>
    </w:p>
    <w:p>
      <w:pPr>
        <w:spacing w:after="40" w:before="60"/>
        <w:jc w:val="center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[Inserir Figura 7 — reports/fig09_comparacao_modelos.png]</w:t>
      </w:r>
    </w:p>
    <w:p>
      <w:pPr>
        <w:spacing w:after="120" w:before="0"/>
        <w:jc w:val="center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[Inserir Figura 8 — reports/fig10_previsto_vs_real.png]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6.2 Rastreamento com MLflow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Todos os experimentos foram rastreados com MLflow, organizados em três experimentos (um por alvo: Atlas-Renovavel-SOLAR_IRRAD, Atlas-Renovavel-WIND_SPEED, Atlas-Renovavel-IP_NE), totalizando 15 execuções (5 modelos × 3 alvos). Cada execução registra: os hiperparâmetros selecionados na busca; as métricas R²/MAE/RMSE das três estratégias de validação; e o modelo treinado como artefato (com assinatura e exemplo de entrada). Os melhores modelos de cada alvo são exportados para models/best_*.joblib. A UI é acessível com mlflow ui (http://localhost:5000).</w:t>
      </w:r>
    </w:p>
    <w:p>
      <w:pPr>
        <w:spacing w:after="120" w:before="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6.3 Dashboard Interativo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O dashboard em Streamlit (app/app.py, http://localhost:8501) oferece cinco páginas: Visão Geral (síntese do dataset e do índice IP-NE); Análise Exploratória (as oito figuras do EDA); Desempenho dos Modelos (tabelas e figuras comparativas); Previsão Interativa (o usuário informa LAT/LON e obtém irradiação solar, vento e IP-NE estimados, com o ponto localizado no mapa); e Ranking &amp; Mapa (estações ordenadas e mapeadas por potencial). Toda a solução é conteinerizada via Docker (docker compose up --build).</w:t>
      </w:r>
    </w:p>
    <w:p>
      <w:pPr>
        <w:spacing w:after="200" w:before="0"/>
      </w:pPr>
      <w: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7. Conclusão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Este trabalho propôs o Atlas Renovável do Nordeste, estendendo a metodologia IP-PB de Ferreira et al. (2023) [4] para escala regional com 134 estações únicas dos nove estados do Nordeste. A análise exploratória revelou padrões geográficos relevantes: o Rio Grande do Norte lidera no potencial híbrido (IP-NE mediano de 0,764), enquanto o interior do Piauí e Bahia concentram as maiores irradiações solares. A estação de Calcanhar (RN) registra a maior velocidade do vento do dataset (8,015 m/s), e estações de Ipiáu (BA) e Brejo Grande (SE) alcançam irradiação superior a 7 kWh/m²/dia.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A comparação de cinco modelos com três estratégias de validação mostrou que o potencial eólico do Nordeste é espacialmente previsível a partir de coordenadas (R² LOO ≈ 0,15, KNN), ao passo que a irradiação solar — quase uniforme no semiárido — não o é em escala regional (R² ≈ 0,06), um achado fisicamente consistente que delimita o alcance de métodos puramente geográficos. O sistema completo (coleta reprodutível, índice IP-NE, modelos rastreados em MLflow e dashboard conteinerizado) constitui uma base extensível para o mapeamento do potencial renovável regional.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Trabalhos futuros podem incorporar variáveis físicas adicionais — distância à costa, rugosidade do terreno, reanálises como ERA5 — para elevar a capacidade preditiva, sobretudo da irradiação solar.</w:t>
      </w:r>
    </w:p>
    <w:p>
      <w:pPr>
        <w:spacing w:after="200" w:before="0"/>
      </w:pPr>
      <w: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Referências</w:t>
      </w:r>
    </w:p>
    <w:p>
      <w:pPr>
        <w:spacing w:after="60" w:before="60"/>
        <w:ind w:left="500" w:hanging="500"/>
      </w:pPr>
      <w:r>
        <w:rPr>
          <w:rFonts w:ascii="Arial" w:cs="Arial" w:eastAsia="Arial" w:hAnsi="Arial"/>
          <w:sz w:val="20"/>
          <w:szCs w:val="20"/>
        </w:rPr>
        <w:t xml:space="preserve">[1] B. Alex, L. Joice. Global Wind Report 2022. GWEC — Global Wind Energy Council, 2022.</w:t>
      </w:r>
    </w:p>
    <w:p>
      <w:pPr>
        <w:spacing w:after="60" w:before="60"/>
        <w:ind w:left="500" w:hanging="500"/>
      </w:pPr>
      <w:r>
        <w:rPr>
          <w:rFonts w:ascii="Arial" w:cs="Arial" w:eastAsia="Arial" w:hAnsi="Arial"/>
          <w:sz w:val="20"/>
          <w:szCs w:val="20"/>
        </w:rPr>
        <w:t xml:space="preserve">[2] G. Chiaetta, M. Schmela, R. Sauaia, W. Hemetsberger. Global Market Outlook for Solar Power 2022–2026. Solar Power Europe, 2022.</w:t>
      </w:r>
    </w:p>
    <w:p>
      <w:pPr>
        <w:spacing w:after="60" w:before="60"/>
        <w:ind w:left="500" w:hanging="500"/>
      </w:pPr>
      <w:r>
        <w:rPr>
          <w:rFonts w:ascii="Arial" w:cs="Arial" w:eastAsia="Arial" w:hAnsi="Arial"/>
          <w:sz w:val="20"/>
          <w:szCs w:val="20"/>
        </w:rPr>
        <w:t xml:space="preserve">[3] N.B. Perini de Souza et al. Long-range correlations of the wind speed in a northeast region of Brazil. Energy, 243, 122742, 2022.</w:t>
      </w:r>
    </w:p>
    <w:p>
      <w:pPr>
        <w:spacing w:after="60" w:before="60"/>
        <w:ind w:left="500" w:hanging="500"/>
      </w:pPr>
      <w:r>
        <w:rPr>
          <w:rFonts w:ascii="Arial" w:cs="Arial" w:eastAsia="Arial" w:hAnsi="Arial"/>
          <w:sz w:val="20"/>
          <w:szCs w:val="20"/>
        </w:rPr>
        <w:t xml:space="preserve">[4] M.M. Ferreira, J.A. Santos, L.R. Silva, R. Abrahao, F.S.V. Gomes, H.D.M. Braz. A new index to evaluate renewable energy potential: A case study on solar, wind and hybrid generation in Northeast Brazil. Renewable Energy, 217, 119182, 2023.</w:t>
      </w:r>
    </w:p>
    <w:p>
      <w:pPr>
        <w:spacing w:after="60" w:before="60"/>
        <w:ind w:left="500" w:hanging="500"/>
      </w:pPr>
      <w:r>
        <w:rPr>
          <w:rFonts w:ascii="Arial" w:cs="Arial" w:eastAsia="Arial" w:hAnsi="Arial"/>
          <w:sz w:val="20"/>
          <w:szCs w:val="20"/>
        </w:rPr>
        <w:t xml:space="preserve">[5] INMET. Banco de Dados Históricos do INMET, 2025. Disponível em: portal.inmet.gov.br. Acesso em: junho de 2026.</w:t>
      </w:r>
    </w:p>
    <w:p>
      <w:pPr>
        <w:spacing w:after="60" w:before="60"/>
        <w:ind w:left="500" w:hanging="500"/>
      </w:pPr>
      <w:r>
        <w:rPr>
          <w:rFonts w:ascii="Arial" w:cs="Arial" w:eastAsia="Arial" w:hAnsi="Arial"/>
          <w:sz w:val="20"/>
          <w:szCs w:val="20"/>
        </w:rPr>
        <w:t xml:space="preserve">[6] F. Pedregosa et al. Scikit-learn: Machine Learning in Python. Journal of Machine Learning Research, 12, pp. 2825–2830, 2011.</w:t>
      </w:r>
    </w:p>
    <w:p>
      <w:pPr>
        <w:spacing w:after="60" w:before="60"/>
        <w:ind w:left="500" w:hanging="500"/>
      </w:pPr>
      <w:r>
        <w:rPr>
          <w:rFonts w:ascii="Arial" w:cs="Arial" w:eastAsia="Arial" w:hAnsi="Arial"/>
          <w:sz w:val="20"/>
          <w:szCs w:val="20"/>
        </w:rPr>
        <w:t xml:space="preserve">[7] J. Chen et al. MLflow: An Open Machine Learning Platform. Databricks, 2018.</w:t>
      </w:r>
    </w:p>
    <w:p>
      <w:pPr>
        <w:spacing w:after="60" w:before="60"/>
        <w:ind w:left="500" w:hanging="500"/>
      </w:pPr>
      <w:r>
        <w:rPr>
          <w:rFonts w:ascii="Arial" w:cs="Arial" w:eastAsia="Arial" w:hAnsi="Arial"/>
          <w:sz w:val="20"/>
          <w:szCs w:val="20"/>
        </w:rPr>
        <w:t xml:space="preserve">[8] Streamlit Inc. Streamlit — The fastest way to build and share data apps, 2022. Disponível em: streamlit.io.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100"/>
      <w:jc w:val="center"/>
    </w:pPr>
    <w:r>
      <w:rPr>
        <w:rFonts w:ascii="Arial" w:cs="Arial" w:eastAsia="Arial" w:hAnsi="Arial"/>
        <w:sz w:val="16"/>
        <w:szCs w:val="16"/>
      </w:rPr>
      <w:t xml:space="preserve">CESAR School — Recife, PE, Brasil    </w:t>
    </w:r>
    <w:r>
      <w:rPr>
        <w:rFonts w:ascii="Arial" w:cs="Arial" w:eastAsia="Arial" w:hAnsi="Arial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100"/>
    </w:pPr>
    <w:r>
      <w:rPr>
        <w:rFonts w:ascii="Arial" w:cs="Arial" w:eastAsia="Arial" w:hAnsi="Arial"/>
        <w:b/>
        <w:bCs/>
        <w:sz w:val="18"/>
        <w:szCs w:val="18"/>
      </w:rPr>
      <w:t xml:space="preserve">Atlas Renovável do Nordeste</w:t>
    </w:r>
    <w:r>
      <w:rPr>
        <w:rFonts w:ascii="Arial" w:cs="Arial" w:eastAsia="Arial" w:hAnsi="Arial"/>
        <w:sz w:val="18"/>
        <w:szCs w:val="18"/>
      </w:rPr>
      <w:t xml:space="preserve">  |  Mapeamento com Aprendizado de Máquina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sz w:val="32"/>
      <w:szCs w:val="32"/>
    </w:rPr>
  </w:style>
  <w:style w:type="paragraph" w:styleId="Heading2">
    <w:name w:val="Heading 2"/>
    <w:basedOn w:val="Normal"/>
    <w:next w:val="Normal"/>
    <w:qFormat/>
    <w:rPr>
      <w:sz w:val="26"/>
      <w:szCs w:val="26"/>
    </w:rPr>
  </w:style>
  <w:style w:type="paragraph" w:styleId="Heading3">
    <w:name w:val="Heading 3"/>
    <w:basedOn w:val="Normal"/>
    <w:next w:val="Normal"/>
    <w:qFormat/>
    <w:rPr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</w:rPr>
  </w:style>
  <w:style w:type="paragraph" w:styleId="Heading5">
    <w:name w:val="Heading 5"/>
    <w:basedOn w:val="Normal"/>
    <w:next w:val="Normal"/>
    <w:qFormat/>
    <w:rPr/>
  </w:style>
  <w:style w:type="paragraph" w:styleId="Heading6">
    <w:name w:val="Heading 6"/>
    <w:basedOn w:val="Normal"/>
    <w:next w:val="Normal"/>
    <w:qFormat/>
    <w:rPr/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Arial" w:cs="Arial" w:eastAsia="Arial" w:hAnsi="Arial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2026-06-04T17:39:23.519Z</dcterms:created>
  <dcterms:modified xsi:type="dcterms:W3CDTF">2026-06-04T17:39:23.519Z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