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ATLAS RENOVÁVEL DO NORDESTE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Mapeamento do Potencial de Geração de Energia Renovável com Aprendizado de Máquina</w:t>
      </w:r>
    </w:p>
    <w:p>
      <w:pPr>
        <w:spacing w:after="1200" w:before="0"/>
      </w:pPr>
      <w:r>
        <w:t xml:space="preserve"/>
      </w:r>
    </w:p>
    <w:p>
      <w:pPr>
        <w:spacing w:after="40" w:before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Leonardo José Amaral de Méllo  •  Gustavo Carneiro</w:t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CESAR School — Recife, Pernambuco, Brasil</w:t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ljam2@cesar.school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Resumo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>Este trabalho apresenta o Atlas Renovável do Nordeste, um sistema de aprendizado de máquina para mapeamento e previsão do potencial de geração de energia renovável solar, eólica e híbrida nos nove estados do Nordeste brasileiro. O índice IP-NE proposto estende a metodologia IP-PB (Ferreira et al., 2023) para escala regional, cobrindo 134 estações automáticas únicas do Instituto Nacional de Meteorologia (INMET) com dados de 2022 a 2025, totalizando 134.501 registros diários válidos após filtragem de dias com cobertura insuficiente de sensor. Modelos de regressão supervisionada (KNN, Árvore de Decisão, Random Forest, AdaBoost e Multilayer Perceptron) são treinados em duas formulações: (i) um modelo espacial anual (134 estações, LAT/LON/UF), que mede a previsibilidade do potencial renovável a partir apenas da localização geográfica; e (ii) um modelo mensal (1.564 amostras estação×mês, LAT/LON/UF/MÊS), que captura o ciclo sazonal solar e eólico real presente nos próprios dados horários do INMET. O modelo mensal eleva o R² de validação cruzada (K-Fold, k=10) de ~0,1–0,24 para 0,82–0,92, sem uso de nenhuma fonte de dados externa — ao custo de uma capacidade de extrapolação espacial pura mais modesta (R² de 0,17–0,33 quando estações inteiras são deixadas de fora via GroupKFold), o que é discutido com transparência na Seção 6. A validação também inclui Holdout 80/20 e Leave-One-Out (no modelo anual). Os experimentos são rastreados com MLflow e os resultados disponibilizados em dashboard Streamlit conteinerizado via Docker.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Introdução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crescente demanda global por energia elétrica e a urgência da transição para fontes limpas tornam as energias solar e eólica estratégicas para o desenvolvimento sustentável. Segundo o Global Wind Energy Council (GWEC), a capacidade eólica mundial atingiu 837 GW em 2022, evitando a emissão de 1,2 bilhão de toneladas de CO₂ [1]. No mesmo período, a capacidade solar instalada superou 1 TW pela primeira vez na história [2].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Nordeste brasileiro ocupa posição privilegiada nesse cenário. A região recebe irradiação solar histórica média de 4,62 kWh/m²/dia nas suas estações meteorológicas automáticas, com pico de 7,52 kWh/m²/dia registrado em estações do interior da Bahia. O vento, por sua vez, atinge médias superiores a 8 m/s em pontos do litoral do Rio Grande do Norte, estado que já responde por parcela expressiva da geração eólica nacional [3].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Apesar desse potencial, a ausência de ferramentas acessíveis de mapeamento com cobertura regional dificulta o planejamento de investimentos em geração distribuída e novos parques de energia. Ferreira et al. (2023) propuseram o índice IP-PB para classificar municípios do estado da Paraíba quanto ao potencial híbrido de geração solar e eólica, utilizando dados públicos do INMET e da NASA POWER combinados com interpolação espacial via Kriging [4]. A abordagem, porém, se restringe a um único estado e depende da densidade de estações próximas para interpolação.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trabalho propõe o Atlas Renovável do Nordeste, que estende a metodologia IP-PB ao escopo dos nove estados da região Nordeste (AL, BA, CE, MA, PB, PE, PI, RN, SE) e substitui a interpolação espacial por modelos de aprendizado de máquina supervisionados. O sistema prediz irradiação solar, velocidade do vento e o índice IP-NE a partir de coordenadas geográficas, possibilitando estimar o potencial de qualquer ponto do Nordeste sem cobertura direta de estação meteorológica.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Contribuições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índice IP-NE, extensão regional do IP-PB para os nove estados do Nordeste;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 pipeline automatizado de coleta e processamento baseado em dados abertos do INMET (2022–2025);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Análise exploratória com oito visualizações que revelam padrões geográficos e climatológicos do potencial renovável regional;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Comparação sistemática de cinco algoritmos de ML com três estratégias de validação;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interativo e solução conteinerizada via Docker para reprodutibilidade.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Trabalhos Relacionados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Ferreira et al. (2023) desenvolveram o índice IP-PB (Paraíba's Hybrid Generation Potential Index) para ranquear municípios do estado da Paraíba quanto ao potencial de geração solar, eólica e híbrida [4]. A metodologia coleta dados horários de estações automáticas do INMET e do satélite NASA POWER, aplica filtros de qualidade, remoção de valores 9999 (falha de sensor) e janela horária 05h–18h UTC, e calcula médias históricas de irradiação solar (kWh/m²/dia) e velocidade do vento a 10 m (m/s). O índice é calculado como a distância euclidiana entre os valores normalizados de ambas as variáveis no espaço [0,1]×[0,1], com valor máximo teórico de √2 ≈ 1,4142.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Para geração de dados em pontos sem estação, os autores avaliaram IDW (Inverse Distance Weighted) e Kriging. O Kriging apresentou melhor desempenho (RMSE = 0,04 kWh/m², R² = 0,89 para irradiação solar) e foi adotado para criar um grid de 2.054 pontos com resolução de 0,05° sobre o estado da Paraíba [4].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presente trabalho estende essa metodologia em duas dimensões: (i) escala regional — todos os nove estados do Nordeste, com 134 estações únicas e cobertura de 128.512 registros diários válidos; (ii) abordagem preditiva — modelos de ML supervisionados substituem a interpolação espacial, aprendendo a relação entre coordenadas geográficas e potencial renovável a partir dos dados históricos das estações existentes.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Metodologia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Coleta e Processamento de Dados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Os dados foram coletados das estações automáticas do INMET pelo portal de dados históricos. A coleta abrange os anos de 2022 a 2025, filtrando as estações dos nove estados do Nordeste. O processamento replica a metodologia de Ferreira et al. (2023) [4]: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Remoção de outliers: registros com valor 9999 (falha de sensor) são descartados;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Filtro horário: apenas registros entre 05h e 18h UTC são considerados;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Conversão de unidades: irradiação de kJ/m² para kWh/m²/dia;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Médias históricas: para cada estação, calcula-se a média histórica de SOLAR_IRRAD e WIND_SPEED ponderada pela quantidade de dias válidos por ano;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Deduplicação: estações com o mesmo código WMO foram agregadas por COD_WMO, resultando em 134 estações únicas (reduzido de 155 registros originais com quasi-duplicatas).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Índice IP-NE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Índice de Potencial do Nordeste (IP-NE) é definido de forma análoga ao IP-PB [4]. Para cada estação, os valores históricos são normalizados pelo máximo e mínimo do conjunto regional, conforme a Equação (1). O IP-NE é então a distância euclidiana no espaço normalizado, conforme a Equação (2):</w:t>
      </w:r>
    </w:p>
    <w:p>
      <w:pPr>
        <w:spacing w:after="60" w:before="12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Z_norm = (Z − Z_min) / (Z_max − Z_min)  (1)</w:t>
      </w:r>
    </w:p>
    <w:p>
      <w:pPr>
        <w:spacing w:after="120" w:before="6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IP_NE = √(WIND_NORM² + SOLAR_NORM²)  (2)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valor máximo teórico é √2 ≈ 1,4142, atingido pela estação com máxima irradiação e máximo vento simultaneamente.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Features e Alvos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>O problema é formulado em duas granularidades complementares. (i) Regressão espacial anual: dado um conjunto de coordenadas geográficas e o estado (UF), prever a média histórica anual do potencial de geração renovável da estação (134 amostras). (ii) Regressão espacial-temporal mensal: dado o mesmo conjunto de coordenadas/UF mais o mês do ano, prever a média climatológica daquele mês para a estação (1.564 amostras estação×mês — ver Seção 6.1-A). A altitude (ALT) foi descartada nas duas formulações após análise de ablação (Seção 6.1-B), que demonstrou redução de R² em todos os alvos quando ALT é incluída. O estado (UF, codificado) melhora o R² em ambas as formulações, pois captura regimes climáticos regionais (alísios costeiros no RN/CE, transição cerrado/caatinga no PI/MA) não capturados só pelas coordenadas.</w:t>
      </w:r>
    </w:p>
    <w:p>
      <w:pPr>
        <w:spacing w:after="12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1. Features e alvos do problema de regressão.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626"/>
        <w:gridCol w:w="21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Variável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Unidade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Latitude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graus decimais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Longitude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graus decimais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Alvo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SOLAR_IRRAD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Irradiação solar histórica média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kWh/m²/dia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Alvo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WIND_SPEED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Velocidade do vento histórica média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m/s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Alvo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IP_NE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Índice de Potencial do Nordeste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adimensional [0; √2]</w:t>
            </w:r>
          </w:p>
        </w:tc>
      </w:tr>
      <w:tr>
        <w:tc>
          <w:tcPr>
            <w:tcW w:type="dxa" w:w="1500"/>
          </w:tcPr>
          <w:p>
            <w:r>
              <w:t>Feature</w:t>
            </w:r>
          </w:p>
        </w:tc>
        <w:tc>
          <w:tcPr>
            <w:tcW w:type="dxa" w:w="1800"/>
          </w:tcPr>
          <w:p>
            <w:r>
              <w:t>UF_ENC</w:t>
            </w:r>
          </w:p>
        </w:tc>
        <w:tc>
          <w:tcPr>
            <w:tcW w:type="dxa" w:w="3626"/>
          </w:tcPr>
          <w:p>
            <w:r>
              <w:t>Estado (codificado, LabelEncoder)</w:t>
            </w:r>
          </w:p>
        </w:tc>
        <w:tc>
          <w:tcPr>
            <w:tcW w:type="dxa" w:w="2100"/>
          </w:tcPr>
          <w:p>
            <w:r>
              <w:t>inteiro [0; 8]</w:t>
            </w:r>
          </w:p>
        </w:tc>
      </w:tr>
      <w:tr>
        <w:tc>
          <w:tcPr>
            <w:tcW w:type="dxa" w:w="1500"/>
          </w:tcPr>
          <w:p>
            <w:r>
              <w:t>Feature</w:t>
            </w:r>
          </w:p>
        </w:tc>
        <w:tc>
          <w:tcPr>
            <w:tcW w:type="dxa" w:w="1800"/>
          </w:tcPr>
          <w:p>
            <w:r>
              <w:t>MES</w:t>
            </w:r>
          </w:p>
        </w:tc>
        <w:tc>
          <w:tcPr>
            <w:tcW w:type="dxa" w:w="3626"/>
          </w:tcPr>
          <w:p>
            <w:r>
              <w:t>Mês do ano (somente modelo mensal)</w:t>
            </w:r>
          </w:p>
        </w:tc>
        <w:tc>
          <w:tcPr>
            <w:tcW w:type="dxa" w:w="2100"/>
          </w:tcPr>
          <w:p>
            <w:r>
              <w:t>inteiro [1; 12]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Modelos de Aprendizado de Máquina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Cinco modelos supervisionados de regressão são treinados e comparados: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KNN: predição por vizinhança geográfica; k, weights e metric otimizados com GridSearchCV;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Árvore de Decisão: particionamento do espaço geográfico; max_depth e min_samples_split com GridSearchCV;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 Forest: ensemble de árvores; n_estimators e max_depth com GridSearchCV;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AdaBoost: boosting adaptativo; n_estimators e learning_rate com GridSearchCV;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MLP: rede neural densa; hidden_layer_sizes, activation e alpha com RandomizedSearchCV.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Estratégias de Validação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>No modelo espacial anual (N = 134), três estratégias são aplicadas. O Leave-One-Out (LOO) é adotado como critério de seleção do melhor modelo, por ser a estimativa de generalização mais estável para esse tamanho amostral. O R² por fold do K-Fold (k=10, ~13 amostras/fold) apresenta variância muito alta e não serve como critério de seleção nesse caso: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Holdout 80/20 com seed fixo (42): linha de base rápida;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K-Fold (k=10): média e desvio padrão de R², MAE e RMSE para estimativa com menor variância;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Leave-One-Out (LOO): cada estação é removida uma vez como teste; métrica de seleção para N pequeno. No modelo mensal (N = 1.564), o K-Fold (k=10, ~156 amostras/fold) já é estável e passa a ser o critério de seleção — o LOO deixa de ser necessário e seria computacionalmente custoso nessa escala. Adiciona-se ainda um GroupKFold (k=10, agrupado por COD_WMO): nenhum mês da estação de teste aparece no treino, o que mede a generalização espacial pura (extrapolar para uma estação nunca vista) — uma tarefa mais difícil que a interpolação temporal entre meses de estações já conhecidas. Esse resultado é reportado por transparência, mas não usado para seleção do melhor modelo.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Conjunto de Dados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>Após a coleta e processamento descritos na Seção 3.1, o dataset final contém 134 estações automáticas únicas distribuídas pelos nove estados do Nordeste, com 134.501 registros diários válidos (média de ~3,1 anos por estação no período 2022–2025; dias com menos de 8 leituras horárias válidas na janela 05h–18h UTC são descartados da média de irradiação solar — Seção 3.1). Estações com o mesmo código WMO, que apareciam duplicadas com pequenas variações de coordenada ou grafia, foram agregadas para evitar vazamento de informação na validação por Leave-One-Out.</w:t>
      </w:r>
    </w:p>
    <w:p>
      <w:pPr>
        <w:spacing w:after="12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2. Distribuição de estações e médias climatológicas por estado (INMET, 2022–2025).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000"/>
        <w:gridCol w:w="1600"/>
        <w:gridCol w:w="1826"/>
        <w:gridCol w:w="12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UF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Estações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Solar Médio
(kWh/m²/dia)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Vento Médio
(m/s)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IP-NE
Mediana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RN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5,12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3,69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0,765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5,40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2,49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0,730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PB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5,07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1,95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0,712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12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4,82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2,42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0,650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PI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21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4,65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1,81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0,623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16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4,19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2,46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0,606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4,69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2,03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0,573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BA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44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4,47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2,02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0,546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MA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13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4,33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1,33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0,514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134*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4,60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2,12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0,597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sz w:val="18"/>
          <w:szCs w:val="18"/>
        </w:rPr>
        <w:t>* Após deduplicação por COD_WMO (total original: 155 registros); mediana usada para IP-NE por ser robusta a outliers.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>A irradiação solar varia de 2,14 a 6,80 kWh/m²/dia e a velocidade do vento de 0,24 a 8,06 m/s. O Rio Grande do Norte destaca-se com o maior vento médio (3,69 m/s) e maior IP-NE mediano (0,765), Sergipe apresenta a maior irradiação solar média (5,40 kWh/m²/dia) e o segundo maior IP-NE mediano (0,730). O Maranhão registra os menores índices em ambas as dimensões, refletindo sua posição geográfica de transição entre o Nordeste semiárido e a Amazônia.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Análise Exploratória de Dados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análise exploratória foi realizada no notebook notebooks/01_eda.ipynb e produziu oito visualizações. As mais relevantes são descritas a seguir.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Distribuição Geográfica das Estações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Figura 1 apresenta a distribuição geográfica das 134 estações coloridas por irradiação solar e velocidade do vento. O painel esquerdo evidencia que os maiores valores de irradiação (tons avermelhados) concentram-se no interior do Nordeste — em especial no Piauí, interior da Bahia e sul do Maranhão. O painel direito mostra que o vento mais intenso (tons mais escuros) ocorre predominantemente no litoral do Rio Grande do Norte e Ceará, padrão coerente com a localização dos principais parques eólicos já instalados nessas regiões.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[Inserir Figura 1 — notebooks/fig02_mapa_solar_vento.png]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Distribuição por Estado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Figura 2 apresenta boxplots de irradiação solar e velocidade do vento por estado. O Rio Grande do Norte apresenta a maior mediana de vento (3,93 m/s) com menor dispersão, indicando consistência do recurso eólico. Sergipe e Paraíba lideram em irradiação solar. O Maranhão apresenta os menores valores em ambas as variáveis, com distribuição mais compacta.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[Inserir Figura 2 — notebooks/fig03_boxplot_solar_vento_uf.png]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Diagrama IP-NE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>A Figura 3 reproduz o diagrama IP-NE adaptado de Ferreira et al. (2023) para o contexto regional. Cada ponto representa uma estação posicionada no espaço de vento normalizado (eixo X) e solar normalizado (eixo Y). As medianas regionais dividem o gráfico em quatro quadrantes. Das 134 estações, 38 (28,4%) pertencem ao quadrante Bom Solar / Bom Vento, indicando potencial elevado para geração híbrida. Observa-se que as estações do RN tendem a migrar para a direita (alto vento), enquanto estações do PI e interior da BA concentram-se no topo (alta irradiação).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[Inserir Figura 3 — notebooks/fig04_ipne_scatter.png]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Ranking IP-NE por Estado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Figura 4 apresenta os boxplots do IP-NE por estado, ordenados por mediana decrescente. O Rio Grande do Norte lidera com mediana de 0,764, seguido de Paraíba (0,691) e Pernambuco (0,648). O Maranhão tem a menor mediana (0,529). Esses resultados são coerentes com os padrões identificados no artigo original [4] para a Paraíba e com o conhecimento do setor energético sobre as vocações de cada estado.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[Inserir Figura 4 — notebooks/fig05_ipne_por_estado.png]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 Top 10 Estações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3. Ranking das 10 estações com maior IP-NE.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00"/>
        <w:gridCol w:w="1800"/>
        <w:gridCol w:w="1200"/>
        <w:gridCol w:w="12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Estação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Solar (kWh/m²/d)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Vento (m/s)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IP-NE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Calcanhar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RN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5,664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8,058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1,254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Guanambi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BA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6,621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3,644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1,056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Brejo Grande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6,799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1,915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1,023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Itaporanga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PB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6,506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2,041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0,965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Paulistana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PI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6,108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2,997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0,922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Remanso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BA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5,844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3,453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0,895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Campo Maior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PI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6,192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1,523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0,885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Ibimirim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5,955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2,704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0,877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Apodi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RN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5,962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2,535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0,871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Macau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>RN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5,162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4,447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0,842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sz w:val="18"/>
          <w:szCs w:val="18"/>
        </w:rPr>
        <w:t>Ranking obtido após a deduplicação por COD_WMO (Seção 3.1) e o filtro de cobertura mínima diária (Seção 3.1), que eliminou estações com sensor inoperante prolongado do cálculo da média histórica.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>A estação de Calcanhar (RN) lidera pelo vento excepcional (8,058 m/s), sendo o único ponto com velocidade acima de 8 m/s no dataset. Brejo Grande (SE) e Guanambi (BA) se destacam pela irradiação solar superior a 6,6 kWh/m²/dia. Essas estações são candidatas prioritárias para validação dos modelos de ML e referência para planejamento de investimentos.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5.6 Correlações com as Features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análise de correlação revelou que a latitude apresenta correlação de −0,013 com a irradiação solar e +0,162 com a velocidade do vento, enquanto a altitude tem correlação de −0,037 com a irradiação. As baixas correlações lineares não implicam ausência de relação — modelos não-lineares como Random Forest e MLP são capazes de capturar padrões geográficos mais complexos entre coordenadas e potencial renovável, o que justifica a abordagem de ML para esse problema.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[Inserir Figura 5 — notebooks/fig07_heatmap_correlacao.png]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Resultados e Discussão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>A modelagem foi conduzida em src/train.py (modelo espacial anual, pipeline com MLflow), src/train_mensal.py (modelo mensal) e em notebooks/02_modeling.ipynb. Cinco regressores foram treinados para cada um dos três alvos, em cada uma das duas granularidades, com busca de hiperparâmetros (GridSearchCV/RandomizedSearchCV, 5-fold com shuffle) e avaliados por Holdout 80/20, K-Fold (k=10) e — no modelo anual — Leave-One-Out; no modelo mensal, adiciona-se o GroupKFold por estação como checagem de honestidade (Seção 3.5).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Desempenho dos Modelos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>A Tabela 4 apresenta o R², MAE e RMSE de Leave-One-Out (métrica de seleção) para os cinco modelos e três alvos do MODELO ESPACIAL ANUAL (134 estações, features LAT/LON/UF). O melhor modelo de cada alvo está indicado com ★. Esta tabela serve de baseline: mede o quanto a localização geográfica, isolada, explica o potencial renovável. A Seção 6.1-B apresenta a reformulação mensal, que recupera o sinal sazonal e eleva substancialmente o R².</w:t>
      </w:r>
    </w:p>
    <w:p>
      <w:pPr>
        <w:spacing w:after="12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>Tabela 4. Desempenho por Leave-One-Out — modelo espacial anual (134 estações, features LAT/LON/UF).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1200"/>
        <w:gridCol w:w="1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Alvo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R² (LOO)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RMSE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Irradiação Solar (kWh/m²/dia)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KNN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0,109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0,578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0,771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Random Forest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0,105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0,583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0,772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MLP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0,041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0,596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0,800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AdaBoost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0,023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0,623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0,807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Árvore de Decisão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−0,217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0,683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0,901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Velocidade do Vento (m/s)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Random Forest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0,238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0,592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0,817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KNN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0,197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0,592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0,839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AdaBoost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0,157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0,603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0,859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MLP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0,056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0,698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0,909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Árvore de Decisão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−0,142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0,676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1,000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Índice IP-NE (adimensional)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Random Forest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0,170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0,117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0,157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KNN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0,141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0,120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0,159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AdaBoost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0,093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0,125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0,164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Árvore de Decisão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−0,051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0,137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0,176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>MLP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−0,075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0,143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0,178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>Hiperparâmetros dos melhores modelos (anual): Solar — KNN (k=15, distância Manhattan, pesos por distância); Vento — Random Forest (500→100 árvores corrigido para max_depth=5, n_estimators=100); IP-NE — Random Forest (max_depth=8, n_estimators=300). Esses valores mudaram em relação a versões anteriores deste relatório porque a busca de hiperparâmetros (GridSearchCV) tinha uma falha: ao passar cv=5 como inteiro, o scikit-learn faz um K-Fold *sem* shuffle, e como o dataset está ordenado por UF/Estação, a validação interna ficava em blocos contíguos de estados, prejudicando a escolha do melhor modelo. A correção (KFold com shuffle=True) já está refletida em todos os números desta seção.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Importância por Ablação — Justificativa de Descartar ALT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>A Tabela 5 compara o R² (LOO, Random Forest) com e sem a altitude, e com e sem o estado (UF), no modelo anual. Em todos os alvos, adicionar ALT piora o resultado; adicionar UF melhora — por isso os modelos finais usam LAT/LON/UF (Figura 6).</w:t>
      </w:r>
    </w:p>
    <w:p>
      <w:pPr>
        <w:spacing w:after="12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5. Ablação da altitude (R² LOO, Random Forest).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4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Alvo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LAT/LON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LAT/LON/ALT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LAT/LON/UF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LAT/LON/UF/ALT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Irradiação Solar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0,073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−0,023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0,110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−0,009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Velocidade do Vento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0,240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0,172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0,245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0,202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Índice IP-NE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0,132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0,032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0,165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>0,062</w:t>
            </w:r>
          </w:p>
        </w:tc>
      </w:tr>
    </w:tbl>
    <w:p>
      <w:pPr>
        <w:spacing w:after="120" w:before="8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[Inserir Figura 6 — reports/fig11_ablacao_altitude.png]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Discussão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>Os resultados do modelo espacial anual revelam um padrão fisicamente coerente: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A velocidade do vento é o alvo mais previsível a partir de coordenadas + UF (R² LOO ≈ 0,24): o recurso eólico tem forte estrutura espacial no Nordeste (corredores litorâneos do RN/CE vs. interior), que os modelos capturam.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A irradiação solar é a menos previsível por coordenadas em escala regional (R² LOO ≈ 0,11): o semiárido é uniformemente ensolarado, restando pouca variância espacial de larga escala para os modelos aprenderem. Isso não contradiz o R² = 0,89 do Kriging de Ferreira et al. (2023): aquele valor foi obtido em um único estado (Paraíba), com grade densa e validação por interpolação — cenário muito mais favorável que o Leave-One-Out inter-regional adotado aqui.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O IP-NE (R² LOO ≈ 0,17) fica entre os dois, por combinar as duas variáveis.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Os modelos baseados em vizinhança/ensemble (KNN, Random Forest) superam consistentemente Árvore de Decisão única e MLP, coerente com a natureza espacial do problema e o tamanho reduzido do dataset.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K-Fold × LOO: o R² por fold do K-Fold (k=10) é instável e por vezes negativo (folds de ~13 estações), enquanto o LOO — que agrega as 134 previsões em um único R² — é mais estável. Isso confirma o LOO como a métrica adequada para N pequeno (Seção 3.5).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>Apesar dos valores absolutos modestos de R² no modelo anual, as previsões reproduzem o gradiente regional conhecido: pontos no litoral do RN recebem IP-NE elevado (~0,8) e o sul do Maranhão, baixo (~0,5), em linha com a análise exploratória. A Seção 6.1-B mostra como recuperar um R² muito mais alto ao explorar a sazonalidade real presente nos próprios dados do INMET.</w:t>
      </w: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[Inserir Figura 7 — reports/fig09_comparacao_modelos.png]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[Inserir Figura 8 — reports/fig10_previsto_vs_real.png]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Rastreamento com MLflow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>Todos os experimentos foram rastreados com MLflow, organizados em seis experimentos (um por alvo × granularidade: Atlas-Renovavel-SOLAR_IRRAD, Atlas-Renovavel-WIND_SPEED, Atlas-Renovavel-IP_NE, Atlas-Renovavel-Mensal-SOLAR_IRRAD, Atlas-Renovavel-Mensal-WIND_SPEED, Atlas-Renovavel-Mensal-IP_NE), totalizando 30 execuções (5 modelos × 3 alvos × 2 granularidades). Cada execução registra: os hiperparâmetros selecionados na busca; as métricas R²/MAE/RMSE das estratégias de validação aplicáveis (Holdout, K-Fold e, conforme a granularidade, LOO ou GroupKFold); e o modelo treinado como artefato (com assinatura e exemplo de entrada). Os melhores modelos de cada alvo/granularidade são exportados para models/best_*.joblib e models/best_*_mensal.joblib. A UI é acessível com mlflow ui (http://localhost:5000).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Dashboard Interativo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>O dashboard em Streamlit (app/app.py, http://localhost:8501) oferece cinco páginas: Visão Geral (síntese do dataset e do índice IP-NE); Análise Exploratória (as oito figuras do EDA); Desempenho dos Modelos (tabelas e figuras comparativas das duas granularidades); Previsão Interativa (o usuário informa LAT/LON e, no modelo mensal, também o mês desejado, obtendo irradiação solar, vento e IP-NE estimados, com o ponto localizado no mapa); e Ranking &amp; Mapa (estações ordenadas e mapeadas por potencial). Toda a solução é conteinerizada via Docker (docker compose up --build).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Conclusão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>Este trabalho propôs o Atlas Renovável do Nordeste, estendendo a metodologia IP-PB de Ferreira et al. (2023) [4] para escala regional com 134 estações únicas dos nove estados do Nordeste. A análise exploratória revelou padrões geográficos relevantes: o Rio Grande do Norte lidera no potencial híbrido (IP-NE mediano de 0,765), enquanto o interior do Piauí e Bahia concentram as maiores irradiações solares. A estação de Calcanhar (RN) registra a maior velocidade do vento do dataset (8,058 m/s), e as estações de Brejo Grande (SE) e Guanambi (BA) alcançam irradiação superior a 6,6 kWh/m²/dia.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>A comparação de cinco modelos com três estratégias de validação mostrou que, na formulação espacial pura (coordenadas + UF, 134 estações), o potencial eólico do Nordeste é o mais previsível (R² LOO ≈ 0,24, Random Forest), seguido do IP-NE (≈0,17) e da irradiação solar (≈0,11) — um achado fisicamente consistente, já que o semiárido nordestino é praticamente uniforme em insolação. Ao reformular o problema em granularidade mensal (estação × mês, 1.564 amostras), recuperando o ciclo sazonal real presente nos próprios dados horários do INMET, o R² de validação cruzada (K-Fold, k=10) sobe para 0,82 (solar), 0,92 (vento) e 0,85 (IP-NE) com Random Forest — sem usar nenhuma fonte de dados externa. Esse ganho reflete, sobretudo, a capacidade do modelo de interpolar meses faltantes em estações já monitoradas; quando se mede a extrapolação para estações nunca vistas (GroupKFold por estação), o R² cai para 0,26–0,33, confirmando que o limite físico de previsibilidade espacial pura discutido na Seção 6.1 permanece válido. Os dois resultados são reportados com transparência: o modelo mensal é recomendado para preencher a climatologia de estações existentes, enquanto a extrapolação para pontos totalmente novos do Nordeste continua sendo a tarefa mais difícil do projeto.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>Trabalhos futuros podem incorporar variáveis físicas adicionais — distância à costa, rugosidade do terreno, reanálises como ERA5 — para elevar a capacidade de extrapolação espacial pura (GroupKFold), hoje o principal fator limitante do Atlas.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Referências</w:t>
      </w:r>
    </w:p>
    <w:p>
      <w:pPr>
        <w:spacing w:after="60" w:before="60"/>
        <w:ind w:left="500" w:hanging="500"/>
      </w:pPr>
      <w:r>
        <w:rPr>
          <w:rFonts w:ascii="Arial" w:cs="Arial" w:eastAsia="Arial" w:hAnsi="Arial"/>
          <w:sz w:val="20"/>
          <w:szCs w:val="20"/>
        </w:rPr>
        <w:t xml:space="preserve">[1] B. Alex, L. Joice. Global Wind Report 2022. GWEC — Global Wind Energy Council, 2022.</w:t>
      </w:r>
    </w:p>
    <w:p>
      <w:pPr>
        <w:spacing w:after="60" w:before="60"/>
        <w:ind w:left="500" w:hanging="500"/>
      </w:pPr>
      <w:r>
        <w:rPr>
          <w:rFonts w:ascii="Arial" w:cs="Arial" w:eastAsia="Arial" w:hAnsi="Arial"/>
          <w:sz w:val="20"/>
          <w:szCs w:val="20"/>
        </w:rPr>
        <w:t xml:space="preserve">[2] G. Chiaetta, M. Schmela, R. Sauaia, W. Hemetsberger. Global Market Outlook for Solar Power 2022–2026. Solar Power Europe, 2022.</w:t>
      </w:r>
    </w:p>
    <w:p>
      <w:pPr>
        <w:spacing w:after="60" w:before="60"/>
        <w:ind w:left="500" w:hanging="500"/>
      </w:pPr>
      <w:r>
        <w:rPr>
          <w:rFonts w:ascii="Arial" w:cs="Arial" w:eastAsia="Arial" w:hAnsi="Arial"/>
          <w:sz w:val="20"/>
          <w:szCs w:val="20"/>
        </w:rPr>
        <w:t xml:space="preserve">[3] N.B. Perini de Souza et al. Long-range correlations of the wind speed in a northeast region of Brazil. Energy, 243, 122742, 2022.</w:t>
      </w:r>
    </w:p>
    <w:p>
      <w:pPr>
        <w:spacing w:after="60" w:before="60"/>
        <w:ind w:left="500" w:hanging="500"/>
      </w:pPr>
      <w:r>
        <w:rPr>
          <w:rFonts w:ascii="Arial" w:cs="Arial" w:eastAsia="Arial" w:hAnsi="Arial"/>
          <w:sz w:val="20"/>
          <w:szCs w:val="20"/>
        </w:rPr>
        <w:t xml:space="preserve">[4] M.M. Ferreira, J.A. Santos, L.R. Silva, R. Abrahao, F.S.V. Gomes, H.D.M. Braz. A new index to evaluate renewable energy potential: A case study on solar, wind and hybrid generation in Northeast Brazil. Renewable Energy, 217, 119182, 2023.</w:t>
      </w:r>
    </w:p>
    <w:p>
      <w:pPr>
        <w:spacing w:after="60" w:before="60"/>
        <w:ind w:left="500" w:hanging="500"/>
      </w:pPr>
      <w:r>
        <w:rPr>
          <w:rFonts w:ascii="Arial" w:cs="Arial" w:eastAsia="Arial" w:hAnsi="Arial"/>
          <w:sz w:val="20"/>
          <w:szCs w:val="20"/>
        </w:rPr>
        <w:t xml:space="preserve">[5] INMET. Banco de Dados Históricos do INMET, 2025. Disponível em: portal.inmet.gov.br. Acesso em: junho de 2026.</w:t>
      </w:r>
    </w:p>
    <w:p>
      <w:pPr>
        <w:spacing w:after="60" w:before="60"/>
        <w:ind w:left="500" w:hanging="500"/>
      </w:pPr>
      <w:r>
        <w:rPr>
          <w:rFonts w:ascii="Arial" w:cs="Arial" w:eastAsia="Arial" w:hAnsi="Arial"/>
          <w:sz w:val="20"/>
          <w:szCs w:val="20"/>
        </w:rPr>
        <w:t xml:space="preserve">[6] F. Pedregosa et al. Scikit-learn: Machine Learning in Python. Journal of Machine Learning Research, 12, pp. 2825–2830, 2011.</w:t>
      </w:r>
    </w:p>
    <w:p>
      <w:pPr>
        <w:spacing w:after="60" w:before="60"/>
        <w:ind w:left="500" w:hanging="500"/>
      </w:pPr>
      <w:r>
        <w:rPr>
          <w:rFonts w:ascii="Arial" w:cs="Arial" w:eastAsia="Arial" w:hAnsi="Arial"/>
          <w:sz w:val="20"/>
          <w:szCs w:val="20"/>
        </w:rPr>
        <w:t xml:space="preserve">[7] J. Chen et al. MLflow: An Open Machine Learning Platform. Databricks, 2018.</w:t>
      </w:r>
    </w:p>
    <w:p>
      <w:pPr>
        <w:spacing w:after="60" w:before="60"/>
        <w:ind w:left="500" w:hanging="500"/>
      </w:pPr>
      <w:r>
        <w:rPr>
          <w:rFonts w:ascii="Arial" w:cs="Arial" w:eastAsia="Arial" w:hAnsi="Arial"/>
          <w:sz w:val="20"/>
          <w:szCs w:val="20"/>
        </w:rPr>
        <w:t xml:space="preserve">[8] Streamlit Inc. Streamlit — The fastest way to build and share data apps, 2022. Disponível em: streamlit.io.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Arial" w:cs="Arial" w:eastAsia="Arial" w:hAnsi="Arial"/>
        <w:sz w:val="16"/>
        <w:szCs w:val="16"/>
      </w:rPr>
      <w:t xml:space="preserve">CESAR School — Recife, PE, Brasil   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</w:pPr>
    <w:r>
      <w:rPr>
        <w:rFonts w:ascii="Arial" w:cs="Arial" w:eastAsia="Arial" w:hAnsi="Arial"/>
        <w:b/>
        <w:bCs/>
        <w:sz w:val="18"/>
        <w:szCs w:val="18"/>
      </w:rPr>
      <w:t xml:space="preserve">Atlas Renovável do Nordeste</w:t>
    </w:r>
    <w:r>
      <w:rPr>
        <w:rFonts w:ascii="Arial" w:cs="Arial" w:eastAsia="Arial" w:hAnsi="Arial"/>
        <w:sz w:val="18"/>
        <w:szCs w:val="18"/>
      </w:rPr>
      <w:t xml:space="preserve">  |  Mapeamento com Aprendizado de Máquina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sz w:val="32"/>
      <w:szCs w:val="32"/>
    </w:rPr>
  </w:style>
  <w:style w:type="paragraph" w:styleId="Heading2">
    <w:name w:val="Heading 2"/>
    <w:basedOn w:val="Normal"/>
    <w:next w:val="Normal"/>
    <w:qFormat/>
    <w:rPr>
      <w:sz w:val="26"/>
      <w:szCs w:val="26"/>
    </w:rPr>
  </w:style>
  <w:style w:type="paragraph" w:styleId="Heading3">
    <w:name w:val="Heading 3"/>
    <w:basedOn w:val="Normal"/>
    <w:next w:val="Normal"/>
    <w:qFormat/>
    <w:rPr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</w:rPr>
  </w:style>
  <w:style w:type="paragraph" w:styleId="Heading5">
    <w:name w:val="Heading 5"/>
    <w:basedOn w:val="Normal"/>
    <w:next w:val="Normal"/>
    <w:qFormat/>
    <w:rPr/>
  </w:style>
  <w:style w:type="paragraph" w:styleId="Heading6">
    <w:name w:val="Heading 6"/>
    <w:basedOn w:val="Normal"/>
    <w:next w:val="Normal"/>
    <w:qFormat/>
    <w:rPr/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2026-06-04T17:39:23.519Z</dcterms:created>
  <dcterms:modified xsi:type="dcterms:W3CDTF">2026-06-04T17:39:23.519Z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