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color w:val="1F3864"/>
          <w:sz w:val="32"/>
          <w:szCs w:val="32"/>
        </w:rPr>
        <w:t xml:space="preserve">INFORME DE ANÁLISIS DE FALLA Y CONFIABILIDAD</w:t>
      </w:r>
    </w:p>
    <w:p>
      <w:pPr>
        <w:spacing w:after="60"/>
      </w:pPr>
      <w:r>
        <w:rPr>
          <w:rFonts w:ascii="Calibri" w:cs="Calibri" w:eastAsia="Calibri" w:hAnsi="Calibri"/>
          <w:color w:val="2E5496"/>
          <w:sz w:val="24"/>
          <w:szCs w:val="24"/>
        </w:rPr>
        <w:t xml:space="preserve">Grupo electrógeno CPW-03 (Jenbacher J320) — Evento del 11 de junio de 2026</w:t>
      </w:r>
    </w:p>
    <w:p>
      <w:pPr>
        <w:pBdr>
          <w:bottom w:val="single" w:color="1F3864" w:sz="6"/>
        </w:pBdr>
        <w:spacing w:after="120"/>
      </w:pPr>
      <w: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2780"/>
        <w:gridCol w:w="1900"/>
        <w:gridCol w:w="2780"/>
      </w:tblGrid>
      <w:tr>
        <w:tc>
          <w:tcPr>
            <w:tcW w:type="dxa" w:w="1900"/>
            <w:shd w:fill="D9E1F2" w:color="auto" w:val="clear"/>
            <w:tcMar>
              <w:top w:type="dxa" w:w="60"/>
              <w:left w:type="dxa" w:w="110"/>
              <w:bottom w:type="dxa" w:w="60"/>
              <w:right w:type="dxa" w:w="110"/>
            </w:tcMar>
          </w:tcPr>
          <w:p>
            <w:pPr>
              <w:spacing w:after="0" w:line="252"/>
              <w:jc w:val="left"/>
            </w:pPr>
            <w:r>
              <w:rPr>
                <w:rFonts w:ascii="Calibri" w:cs="Calibri" w:eastAsia="Calibri" w:hAnsi="Calibri"/>
                <w:b/>
                <w:bCs/>
                <w:color w:val="1F3864"/>
                <w:sz w:val="20"/>
                <w:szCs w:val="20"/>
              </w:rPr>
              <w:t xml:space="preserve">Cliente</w:t>
            </w:r>
          </w:p>
        </w:tc>
        <w:tc>
          <w:tcPr>
            <w:tcW w:type="dxa" w:w="278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Gran Tierra Energy</w:t>
            </w:r>
          </w:p>
        </w:tc>
        <w:tc>
          <w:tcPr>
            <w:tcW w:type="dxa" w:w="1900"/>
            <w:shd w:fill="D9E1F2" w:color="auto" w:val="clear"/>
            <w:tcMar>
              <w:top w:type="dxa" w:w="60"/>
              <w:left w:type="dxa" w:w="110"/>
              <w:bottom w:type="dxa" w:w="60"/>
              <w:right w:type="dxa" w:w="110"/>
            </w:tcMar>
          </w:tcPr>
          <w:p>
            <w:pPr>
              <w:spacing w:after="0" w:line="252"/>
              <w:jc w:val="left"/>
            </w:pPr>
            <w:r>
              <w:rPr>
                <w:rFonts w:ascii="Calibri" w:cs="Calibri" w:eastAsia="Calibri" w:hAnsi="Calibri"/>
                <w:b/>
                <w:bCs/>
                <w:color w:val="1F3864"/>
                <w:sz w:val="20"/>
                <w:szCs w:val="20"/>
              </w:rPr>
              <w:t xml:space="preserve">Operador de mantenimiento</w:t>
            </w:r>
          </w:p>
        </w:tc>
        <w:tc>
          <w:tcPr>
            <w:tcW w:type="dxa" w:w="278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Copower</w:t>
            </w:r>
          </w:p>
        </w:tc>
      </w:tr>
      <w:tr>
        <w:tc>
          <w:tcPr>
            <w:tcW w:type="dxa" w:w="1900"/>
            <w:shd w:fill="D9E1F2" w:color="auto" w:val="clear"/>
            <w:tcMar>
              <w:top w:type="dxa" w:w="60"/>
              <w:left w:type="dxa" w:w="110"/>
              <w:bottom w:type="dxa" w:w="60"/>
              <w:right w:type="dxa" w:w="110"/>
            </w:tcMar>
          </w:tcPr>
          <w:p>
            <w:pPr>
              <w:spacing w:after="0" w:line="252"/>
              <w:jc w:val="left"/>
            </w:pPr>
            <w:r>
              <w:rPr>
                <w:rFonts w:ascii="Calibri" w:cs="Calibri" w:eastAsia="Calibri" w:hAnsi="Calibri"/>
                <w:b/>
                <w:bCs/>
                <w:color w:val="1F3864"/>
                <w:sz w:val="20"/>
                <w:szCs w:val="20"/>
              </w:rPr>
              <w:t xml:space="preserve">Ubicación</w:t>
            </w:r>
          </w:p>
        </w:tc>
        <w:tc>
          <w:tcPr>
            <w:tcW w:type="dxa" w:w="278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Campo Costayaco — Colombia</w:t>
            </w:r>
          </w:p>
        </w:tc>
        <w:tc>
          <w:tcPr>
            <w:tcW w:type="dxa" w:w="1900"/>
            <w:shd w:fill="D9E1F2" w:color="auto" w:val="clear"/>
            <w:tcMar>
              <w:top w:type="dxa" w:w="60"/>
              <w:left w:type="dxa" w:w="110"/>
              <w:bottom w:type="dxa" w:w="60"/>
              <w:right w:type="dxa" w:w="110"/>
            </w:tcMar>
          </w:tcPr>
          <w:p>
            <w:pPr>
              <w:spacing w:after="0" w:line="252"/>
              <w:jc w:val="left"/>
            </w:pPr>
            <w:r>
              <w:rPr>
                <w:rFonts w:ascii="Calibri" w:cs="Calibri" w:eastAsia="Calibri" w:hAnsi="Calibri"/>
                <w:b/>
                <w:bCs/>
                <w:color w:val="1F3864"/>
                <w:sz w:val="20"/>
                <w:szCs w:val="20"/>
              </w:rPr>
              <w:t xml:space="preserve">Equipo / Código</w:t>
            </w:r>
          </w:p>
        </w:tc>
        <w:tc>
          <w:tcPr>
            <w:tcW w:type="dxa" w:w="278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Grupo electrógeno a gas / CPW-03</w:t>
            </w:r>
          </w:p>
        </w:tc>
      </w:tr>
      <w:tr>
        <w:tc>
          <w:tcPr>
            <w:tcW w:type="dxa" w:w="1900"/>
            <w:shd w:fill="D9E1F2" w:color="auto" w:val="clear"/>
            <w:tcMar>
              <w:top w:type="dxa" w:w="60"/>
              <w:left w:type="dxa" w:w="110"/>
              <w:bottom w:type="dxa" w:w="60"/>
              <w:right w:type="dxa" w:w="110"/>
            </w:tcMar>
          </w:tcPr>
          <w:p>
            <w:pPr>
              <w:spacing w:after="0" w:line="252"/>
              <w:jc w:val="left"/>
            </w:pPr>
            <w:r>
              <w:rPr>
                <w:rFonts w:ascii="Calibri" w:cs="Calibri" w:eastAsia="Calibri" w:hAnsi="Calibri"/>
                <w:b/>
                <w:bCs/>
                <w:color w:val="1F3864"/>
                <w:sz w:val="20"/>
                <w:szCs w:val="20"/>
              </w:rPr>
              <w:t xml:space="preserve">Marca / Modelo</w:t>
            </w:r>
          </w:p>
        </w:tc>
        <w:tc>
          <w:tcPr>
            <w:tcW w:type="dxa" w:w="278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Jenbacher / J320 (JB 320)</w:t>
            </w:r>
          </w:p>
        </w:tc>
        <w:tc>
          <w:tcPr>
            <w:tcW w:type="dxa" w:w="1900"/>
            <w:shd w:fill="D9E1F2" w:color="auto" w:val="clear"/>
            <w:tcMar>
              <w:top w:type="dxa" w:w="60"/>
              <w:left w:type="dxa" w:w="110"/>
              <w:bottom w:type="dxa" w:w="60"/>
              <w:right w:type="dxa" w:w="110"/>
            </w:tcMar>
          </w:tcPr>
          <w:p>
            <w:pPr>
              <w:spacing w:after="0" w:line="252"/>
              <w:jc w:val="left"/>
            </w:pPr>
            <w:r>
              <w:rPr>
                <w:rFonts w:ascii="Calibri" w:cs="Calibri" w:eastAsia="Calibri" w:hAnsi="Calibri"/>
                <w:b/>
                <w:bCs/>
                <w:color w:val="1F3864"/>
                <w:sz w:val="20"/>
                <w:szCs w:val="20"/>
              </w:rPr>
              <w:t xml:space="preserve">Potencia nominal</w:t>
            </w:r>
          </w:p>
        </w:tc>
        <w:tc>
          <w:tcPr>
            <w:tcW w:type="dxa" w:w="278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1.051 kW</w:t>
            </w:r>
          </w:p>
        </w:tc>
      </w:tr>
      <w:tr>
        <w:tc>
          <w:tcPr>
            <w:tcW w:type="dxa" w:w="1900"/>
            <w:shd w:fill="D9E1F2" w:color="auto" w:val="clear"/>
            <w:tcMar>
              <w:top w:type="dxa" w:w="60"/>
              <w:left w:type="dxa" w:w="110"/>
              <w:bottom w:type="dxa" w:w="60"/>
              <w:right w:type="dxa" w:w="110"/>
            </w:tcMar>
          </w:tcPr>
          <w:p>
            <w:pPr>
              <w:spacing w:after="0" w:line="252"/>
              <w:jc w:val="left"/>
            </w:pPr>
            <w:r>
              <w:rPr>
                <w:rFonts w:ascii="Calibri" w:cs="Calibri" w:eastAsia="Calibri" w:hAnsi="Calibri"/>
                <w:b/>
                <w:bCs/>
                <w:color w:val="1F3864"/>
                <w:sz w:val="20"/>
                <w:szCs w:val="20"/>
              </w:rPr>
              <w:t xml:space="preserve">Horas del equipo</w:t>
            </w:r>
          </w:p>
        </w:tc>
        <w:tc>
          <w:tcPr>
            <w:tcW w:type="dxa" w:w="278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11.454 h</w:t>
            </w:r>
          </w:p>
        </w:tc>
        <w:tc>
          <w:tcPr>
            <w:tcW w:type="dxa" w:w="1900"/>
            <w:shd w:fill="D9E1F2" w:color="auto" w:val="clear"/>
            <w:tcMar>
              <w:top w:type="dxa" w:w="60"/>
              <w:left w:type="dxa" w:w="110"/>
              <w:bottom w:type="dxa" w:w="60"/>
              <w:right w:type="dxa" w:w="110"/>
            </w:tcMar>
          </w:tcPr>
          <w:p>
            <w:pPr>
              <w:spacing w:after="0" w:line="252"/>
              <w:jc w:val="left"/>
            </w:pPr>
            <w:r>
              <w:rPr>
                <w:rFonts w:ascii="Calibri" w:cs="Calibri" w:eastAsia="Calibri" w:hAnsi="Calibri"/>
                <w:b/>
                <w:bCs/>
                <w:color w:val="1F3864"/>
                <w:sz w:val="20"/>
                <w:szCs w:val="20"/>
              </w:rPr>
              <w:t xml:space="preserve">Documento base</w:t>
            </w:r>
          </w:p>
        </w:tc>
        <w:tc>
          <w:tcPr>
            <w:tcW w:type="dxa" w:w="278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FO-GE-033 v.01</w:t>
            </w:r>
          </w:p>
        </w:tc>
      </w:tr>
      <w:tr>
        <w:tc>
          <w:tcPr>
            <w:tcW w:type="dxa" w:w="1900"/>
            <w:shd w:fill="D9E1F2" w:color="auto" w:val="clear"/>
            <w:tcMar>
              <w:top w:type="dxa" w:w="60"/>
              <w:left w:type="dxa" w:w="110"/>
              <w:bottom w:type="dxa" w:w="60"/>
              <w:right w:type="dxa" w:w="110"/>
            </w:tcMar>
          </w:tcPr>
          <w:p>
            <w:pPr>
              <w:spacing w:after="0" w:line="252"/>
              <w:jc w:val="left"/>
            </w:pPr>
            <w:r>
              <w:rPr>
                <w:rFonts w:ascii="Calibri" w:cs="Calibri" w:eastAsia="Calibri" w:hAnsi="Calibri"/>
                <w:b/>
                <w:bCs/>
                <w:color w:val="1F3864"/>
                <w:sz w:val="20"/>
                <w:szCs w:val="20"/>
              </w:rPr>
              <w:t xml:space="preserve">Tipo de mantenimiento</w:t>
            </w:r>
          </w:p>
        </w:tc>
        <w:tc>
          <w:tcPr>
            <w:tcW w:type="dxa" w:w="278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Correctivo</w:t>
            </w:r>
          </w:p>
        </w:tc>
        <w:tc>
          <w:tcPr>
            <w:tcW w:type="dxa" w:w="1900"/>
            <w:shd w:fill="D9E1F2" w:color="auto" w:val="clear"/>
            <w:tcMar>
              <w:top w:type="dxa" w:w="60"/>
              <w:left w:type="dxa" w:w="110"/>
              <w:bottom w:type="dxa" w:w="60"/>
              <w:right w:type="dxa" w:w="110"/>
            </w:tcMar>
          </w:tcPr>
          <w:p>
            <w:pPr>
              <w:spacing w:after="0" w:line="252"/>
              <w:jc w:val="left"/>
            </w:pPr>
            <w:r>
              <w:rPr>
                <w:rFonts w:ascii="Calibri" w:cs="Calibri" w:eastAsia="Calibri" w:hAnsi="Calibri"/>
                <w:b/>
                <w:bCs/>
                <w:color w:val="1F3864"/>
                <w:sz w:val="20"/>
                <w:szCs w:val="20"/>
              </w:rPr>
              <w:t xml:space="preserve">Fecha del evento</w:t>
            </w:r>
          </w:p>
        </w:tc>
        <w:tc>
          <w:tcPr>
            <w:tcW w:type="dxa" w:w="278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11-jun-2026</w:t>
            </w:r>
          </w:p>
        </w:tc>
      </w:tr>
      <w:tr>
        <w:tc>
          <w:tcPr>
            <w:tcW w:type="dxa" w:w="1900"/>
            <w:shd w:fill="D9E1F2" w:color="auto" w:val="clear"/>
            <w:tcMar>
              <w:top w:type="dxa" w:w="60"/>
              <w:left w:type="dxa" w:w="110"/>
              <w:bottom w:type="dxa" w:w="60"/>
              <w:right w:type="dxa" w:w="110"/>
            </w:tcMar>
          </w:tcPr>
          <w:p>
            <w:pPr>
              <w:spacing w:after="0" w:line="252"/>
              <w:jc w:val="left"/>
            </w:pPr>
            <w:r>
              <w:rPr>
                <w:rFonts w:ascii="Calibri" w:cs="Calibri" w:eastAsia="Calibri" w:hAnsi="Calibri"/>
                <w:b/>
                <w:bCs/>
                <w:color w:val="1F3864"/>
                <w:sz w:val="20"/>
                <w:szCs w:val="20"/>
              </w:rPr>
              <w:t xml:space="preserve">Duración fuera de servicio</w:t>
            </w:r>
          </w:p>
        </w:tc>
        <w:tc>
          <w:tcPr>
            <w:tcW w:type="dxa" w:w="278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 4 h (15:23 – 19:25)</w:t>
            </w:r>
          </w:p>
        </w:tc>
        <w:tc>
          <w:tcPr>
            <w:tcW w:type="dxa" w:w="1900"/>
            <w:shd w:fill="D9E1F2" w:color="auto" w:val="clear"/>
            <w:tcMar>
              <w:top w:type="dxa" w:w="60"/>
              <w:left w:type="dxa" w:w="110"/>
              <w:bottom w:type="dxa" w:w="60"/>
              <w:right w:type="dxa" w:w="110"/>
            </w:tcMar>
          </w:tcPr>
          <w:p>
            <w:pPr>
              <w:spacing w:after="0" w:line="252"/>
              <w:jc w:val="left"/>
            </w:pPr>
            <w:r>
              <w:rPr>
                <w:rFonts w:ascii="Calibri" w:cs="Calibri" w:eastAsia="Calibri" w:hAnsi="Calibri"/>
                <w:b/>
                <w:bCs/>
                <w:color w:val="1F3864"/>
                <w:sz w:val="20"/>
                <w:szCs w:val="20"/>
              </w:rPr>
              <w:t xml:space="preserve">Clasificación</w:t>
            </w:r>
          </w:p>
        </w:tc>
        <w:tc>
          <w:tcPr>
            <w:tcW w:type="dxa" w:w="278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Alta</w:t>
            </w:r>
          </w:p>
        </w:tc>
      </w:tr>
      <w:tr>
        <w:tc>
          <w:tcPr>
            <w:tcW w:type="dxa" w:w="1900"/>
            <w:shd w:fill="D9E1F2" w:color="auto" w:val="clear"/>
            <w:tcMar>
              <w:top w:type="dxa" w:w="60"/>
              <w:left w:type="dxa" w:w="110"/>
              <w:bottom w:type="dxa" w:w="60"/>
              <w:right w:type="dxa" w:w="110"/>
            </w:tcMar>
          </w:tcPr>
          <w:p>
            <w:pPr>
              <w:spacing w:after="0" w:line="252"/>
              <w:jc w:val="left"/>
            </w:pPr>
            <w:r>
              <w:rPr>
                <w:rFonts w:ascii="Calibri" w:cs="Calibri" w:eastAsia="Calibri" w:hAnsi="Calibri"/>
                <w:b/>
                <w:bCs/>
                <w:color w:val="1F3864"/>
                <w:sz w:val="20"/>
                <w:szCs w:val="20"/>
              </w:rPr>
              <w:t xml:space="preserve">Estado de cierre</w:t>
            </w:r>
          </w:p>
        </w:tc>
        <w:tc>
          <w:tcPr>
            <w:tcW w:type="dxa" w:w="278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Operativo cerrado / causa raíz abierta</w:t>
            </w:r>
          </w:p>
        </w:tc>
        <w:tc>
          <w:tcPr>
            <w:tcW w:type="dxa" w:w="1900"/>
            <w:shd w:fill="D9E1F2" w:color="auto" w:val="clear"/>
            <w:tcMar>
              <w:top w:type="dxa" w:w="60"/>
              <w:left w:type="dxa" w:w="110"/>
              <w:bottom w:type="dxa" w:w="60"/>
              <w:right w:type="dxa" w:w="110"/>
            </w:tcMar>
          </w:tcPr>
          <w:p>
            <w:pPr>
              <w:spacing w:after="0" w:line="252"/>
              <w:jc w:val="left"/>
            </w:pPr>
            <w:r>
              <w:rPr>
                <w:rFonts w:ascii="Calibri" w:cs="Calibri" w:eastAsia="Calibri" w:hAnsi="Calibri"/>
                <w:b/>
                <w:bCs/>
                <w:color w:val="1F3864"/>
                <w:sz w:val="20"/>
                <w:szCs w:val="20"/>
              </w:rPr>
              <w:t xml:space="preserve">Responsables</w:t>
            </w:r>
          </w:p>
        </w:tc>
        <w:tc>
          <w:tcPr>
            <w:tcW w:type="dxa" w:w="278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D. Cornejo · J. L. Álvarez</w:t>
            </w:r>
          </w:p>
        </w:tc>
      </w:tr>
    </w:tbl>
    <w:p>
      <w:pPr>
        <w:spacing w:after="80"/>
      </w:pPr>
      <w: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360"/>
      </w:tblGrid>
      <w:tr>
        <w:tc>
          <w:tcPr>
            <w:tcW w:type="dxa" w:w="9360"/>
            <w:shd w:fill="F2F5FB" w:color="auto" w:val="clear"/>
            <w:tcMar>
              <w:top w:type="dxa" w:w="60"/>
              <w:left w:type="dxa" w:w="110"/>
              <w:bottom w:type="dxa" w:w="60"/>
              <w:right w:type="dxa" w:w="110"/>
            </w:tcMar>
          </w:tcPr>
          <w:p>
            <w:pPr>
              <w:spacing w:after="0" w:line="252"/>
              <w:jc w:val="left"/>
            </w:pPr>
            <w:r>
              <w:rPr>
                <w:rFonts w:ascii="Calibri" w:cs="Calibri" w:eastAsia="Calibri" w:hAnsi="Calibri"/>
                <w:b/>
                <w:bCs/>
                <w:color w:val="1F3864"/>
                <w:sz w:val="19"/>
                <w:szCs w:val="19"/>
              </w:rPr>
              <w:t xml:space="preserve">Nota metodológica.  </w:t>
            </w:r>
            <w:r>
              <w:rPr>
                <w:rFonts w:ascii="Calibri" w:cs="Calibri" w:eastAsia="Calibri" w:hAnsi="Calibri"/>
                <w:sz w:val="19"/>
                <w:szCs w:val="19"/>
              </w:rPr>
              <w:t xml:space="preserve">Este informe distingue de forma explícita entre </w:t>
            </w:r>
            <w:r>
              <w:rPr>
                <w:rFonts w:ascii="Calibri" w:cs="Calibri" w:eastAsia="Calibri" w:hAnsi="Calibri"/>
                <w:b/>
                <w:bCs/>
                <w:color w:val="375623"/>
                <w:sz w:val="18"/>
                <w:szCs w:val="18"/>
              </w:rPr>
              <w:t xml:space="preserve">[HECHO]</w:t>
            </w:r>
            <w:r>
              <w:rPr>
                <w:rFonts w:ascii="Calibri" w:cs="Calibri" w:eastAsia="Calibri" w:hAnsi="Calibri"/>
                <w:sz w:val="19"/>
                <w:szCs w:val="19"/>
              </w:rPr>
              <w:t xml:space="preserve"> (documentado en el FO-GE-033 o en la telemetría del historiador), </w:t>
            </w:r>
            <w:r>
              <w:rPr>
                <w:rFonts w:ascii="Calibri" w:cs="Calibri" w:eastAsia="Calibri" w:hAnsi="Calibri"/>
                <w:b/>
                <w:bCs/>
                <w:color w:val="9C6500"/>
                <w:sz w:val="18"/>
                <w:szCs w:val="18"/>
              </w:rPr>
              <w:t xml:space="preserve">[HIPÓTESIS]</w:t>
            </w:r>
            <w:r>
              <w:rPr>
                <w:rFonts w:ascii="Calibri" w:cs="Calibri" w:eastAsia="Calibri" w:hAnsi="Calibri"/>
                <w:sz w:val="19"/>
                <w:szCs w:val="19"/>
              </w:rPr>
              <w:t xml:space="preserve"> (inferencia técnica no confirmada) y </w:t>
            </w:r>
            <w:r>
              <w:rPr>
                <w:rFonts w:ascii="Calibri" w:cs="Calibri" w:eastAsia="Calibri" w:hAnsi="Calibri"/>
                <w:b/>
                <w:bCs/>
                <w:color w:val="9C1F1F"/>
                <w:sz w:val="18"/>
                <w:szCs w:val="18"/>
              </w:rPr>
              <w:t xml:space="preserve">[PENDIENTE]</w:t>
            </w:r>
            <w:r>
              <w:rPr>
                <w:rFonts w:ascii="Calibri" w:cs="Calibri" w:eastAsia="Calibri" w:hAnsi="Calibri"/>
                <w:sz w:val="19"/>
                <w:szCs w:val="19"/>
              </w:rPr>
              <w:t xml:space="preserve"> (dato no disponible en las fuentes). Ninguna hipótesis debe interpretarse como causa establecida.</w:t>
            </w:r>
          </w:p>
        </w:tc>
      </w:tr>
    </w:tbl>
    <w:p>
      <w:pPr>
        <w:pStyle w:val="Heading1"/>
        <w:spacing w:after="120" w:before="260"/>
      </w:pPr>
      <w:r>
        <w:rPr>
          <w:rFonts w:ascii="Calibri" w:cs="Calibri" w:eastAsia="Calibri" w:hAnsi="Calibri"/>
          <w:b/>
          <w:bCs/>
          <w:color w:val="1F3864"/>
          <w:sz w:val="28"/>
          <w:szCs w:val="28"/>
        </w:rPr>
        <w:t xml:space="preserve">1.  Resumen ejecutivo</w:t>
      </w:r>
    </w:p>
    <w:p>
      <w:pPr>
        <w:spacing w:after="120" w:line="264"/>
      </w:pPr>
      <w:r>
        <w:rPr>
          <w:rFonts w:ascii="Calibri" w:cs="Calibri" w:eastAsia="Calibri" w:hAnsi="Calibri"/>
          <w:sz w:val="21"/>
          <w:szCs w:val="21"/>
        </w:rPr>
        <w:t xml:space="preserve">El 11 de junio de 2026, el grupo electrógeno CPW-03 operaba de forma estable a aproximadamente 669 kW —cerca del 64 % de su capacidad nominal de 1.051 kW—, 1.800 RPM y ~60 Hz. Alrededor de las </w:t>
      </w:r>
      <w:r>
        <w:rPr>
          <w:rFonts w:ascii="Calibri" w:cs="Calibri" w:eastAsia="Calibri" w:hAnsi="Calibri"/>
          <w:b/>
          <w:bCs/>
          <w:sz w:val="21"/>
          <w:szCs w:val="21"/>
        </w:rPr>
        <w:t xml:space="preserve">15:12</w:t>
      </w:r>
      <w:r>
        <w:rPr>
          <w:rFonts w:ascii="Calibri" w:cs="Calibri" w:eastAsia="Calibri" w:hAnsi="Calibri"/>
          <w:sz w:val="21"/>
          <w:szCs w:val="21"/>
        </w:rPr>
        <w:t xml:space="preserve"> la unidad sufrió una perturbación súbita: caída abrupta de potencia activa y corriente, acompañada de una excursión de velocidad y frecuencia. Tras ~11 minutos de operación inestable, alrededor de las </w:t>
      </w:r>
      <w:r>
        <w:rPr>
          <w:rFonts w:ascii="Calibri" w:cs="Calibri" w:eastAsia="Calibri" w:hAnsi="Calibri"/>
          <w:b/>
          <w:bCs/>
          <w:sz w:val="21"/>
          <w:szCs w:val="21"/>
        </w:rPr>
        <w:t xml:space="preserve">15:23</w:t>
      </w:r>
      <w:r>
        <w:rPr>
          <w:rFonts w:ascii="Calibri" w:cs="Calibri" w:eastAsia="Calibri" w:hAnsi="Calibri"/>
          <w:sz w:val="21"/>
          <w:szCs w:val="21"/>
        </w:rPr>
        <w:t xml:space="preserve"> se perdió la comunicación/adquisición de datos del generador —los tags de potencia, corriente y reactivo quedaron congelados y la velocidad marcó cero—, dejando la unidad sin supervisión confiable y provocando su salida de servicio.</w:t>
      </w:r>
    </w:p>
    <w:p>
      <w:pPr>
        <w:spacing w:after="120" w:line="264"/>
      </w:pPr>
      <w:r>
        <w:rPr>
          <w:rFonts w:ascii="Calibri" w:cs="Calibri" w:eastAsia="Calibri" w:hAnsi="Calibri"/>
          <w:sz w:val="21"/>
          <w:szCs w:val="21"/>
        </w:rPr>
        <w:t xml:space="preserve">Tras el reinicio de los módulos de control y el restablecimiento de la comunicación, la unidad retornó a línea a las </w:t>
      </w:r>
      <w:r>
        <w:rPr>
          <w:rFonts w:ascii="Calibri" w:cs="Calibri" w:eastAsia="Calibri" w:hAnsi="Calibri"/>
          <w:b/>
          <w:bCs/>
          <w:sz w:val="21"/>
          <w:szCs w:val="21"/>
        </w:rPr>
        <w:t xml:space="preserve">19:25</w:t>
      </w:r>
      <w:r>
        <w:rPr>
          <w:rFonts w:ascii="Calibri" w:cs="Calibri" w:eastAsia="Calibri" w:hAnsi="Calibri"/>
          <w:sz w:val="21"/>
          <w:szCs w:val="21"/>
        </w:rPr>
        <w:t xml:space="preserve">, con una indisponibilidad aproximada de 4 horas. No se reemplazaron componentes ni se evidenció daño físico. </w:t>
      </w:r>
      <w:r>
        <w:rPr>
          <w:rFonts w:ascii="Calibri" w:cs="Calibri" w:eastAsia="Calibri" w:hAnsi="Calibri"/>
          <w:b/>
          <w:bCs/>
          <w:sz w:val="21"/>
          <w:szCs w:val="21"/>
        </w:rPr>
        <w:t xml:space="preserve">La causa raíz del evento —tanto del disturbio inicial como de la pérdida de comunicación— no pudo determinarse con la información disponible</w:t>
      </w:r>
      <w:r>
        <w:rPr>
          <w:rFonts w:ascii="Calibri" w:cs="Calibri" w:eastAsia="Calibri" w:hAnsi="Calibri"/>
          <w:sz w:val="21"/>
          <w:szCs w:val="21"/>
        </w:rPr>
        <w:t xml:space="preserve">; el evento debe registrarse como cierre operativo con causa raíz abierta y riesgo de recurrencia vigente.</w:t>
      </w:r>
    </w:p>
    <w:p>
      <w:pPr>
        <w:pStyle w:val="Heading1"/>
        <w:spacing w:after="120" w:before="260"/>
      </w:pPr>
      <w:r>
        <w:rPr>
          <w:rFonts w:ascii="Calibri" w:cs="Calibri" w:eastAsia="Calibri" w:hAnsi="Calibri"/>
          <w:b/>
          <w:bCs/>
          <w:color w:val="1F3864"/>
          <w:sz w:val="28"/>
          <w:szCs w:val="28"/>
        </w:rPr>
        <w:t xml:space="preserve">2.  Información del equipo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2340"/>
        <w:gridCol w:w="2340"/>
        <w:gridCol w:w="2340"/>
      </w:tblGrid>
      <w:tr>
        <w:trPr>
          <w:tblHeader/>
        </w:trPr>
        <w:tc>
          <w:tcPr>
            <w:tcW w:type="dxa" w:w="2340"/>
            <w:shd w:fill="1F3864"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20"/>
                <w:szCs w:val="20"/>
              </w:rPr>
              <w:t xml:space="preserve">Parámetro</w:t>
            </w:r>
          </w:p>
        </w:tc>
        <w:tc>
          <w:tcPr>
            <w:tcW w:type="dxa" w:w="2340"/>
            <w:shd w:fill="1F3864"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20"/>
                <w:szCs w:val="20"/>
              </w:rPr>
              <w:t xml:space="preserve">Valor</w:t>
            </w:r>
          </w:p>
        </w:tc>
        <w:tc>
          <w:tcPr>
            <w:tcW w:type="dxa" w:w="2340"/>
            <w:shd w:fill="1F3864"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20"/>
                <w:szCs w:val="20"/>
              </w:rPr>
              <w:t xml:space="preserve">Parámetro</w:t>
            </w:r>
          </w:p>
        </w:tc>
        <w:tc>
          <w:tcPr>
            <w:tcW w:type="dxa" w:w="2340"/>
            <w:shd w:fill="1F3864"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20"/>
                <w:szCs w:val="20"/>
              </w:rPr>
              <w:t xml:space="preserve">Valor</w:t>
            </w:r>
          </w:p>
        </w:tc>
      </w:tr>
      <w:tr>
        <w:tc>
          <w:tcPr>
            <w:tcW w:type="dxa" w:w="23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Equipo</w:t>
            </w:r>
          </w:p>
        </w:tc>
        <w:tc>
          <w:tcPr>
            <w:tcW w:type="dxa" w:w="23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Grupo electrógeno a gas</w:t>
            </w:r>
          </w:p>
        </w:tc>
        <w:tc>
          <w:tcPr>
            <w:tcW w:type="dxa" w:w="23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Código</w:t>
            </w:r>
          </w:p>
        </w:tc>
        <w:tc>
          <w:tcPr>
            <w:tcW w:type="dxa" w:w="23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CPW-03</w:t>
            </w:r>
          </w:p>
        </w:tc>
      </w:tr>
      <w:tr>
        <w:tc>
          <w:tcPr>
            <w:tcW w:type="dxa" w:w="23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Marca / Modelo</w:t>
            </w:r>
          </w:p>
        </w:tc>
        <w:tc>
          <w:tcPr>
            <w:tcW w:type="dxa" w:w="23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Jenbacher J320</w:t>
            </w:r>
          </w:p>
        </w:tc>
        <w:tc>
          <w:tcPr>
            <w:tcW w:type="dxa" w:w="23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Potencia nominal</w:t>
            </w:r>
          </w:p>
        </w:tc>
        <w:tc>
          <w:tcPr>
            <w:tcW w:type="dxa" w:w="23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1.051 kW</w:t>
            </w:r>
          </w:p>
        </w:tc>
      </w:tr>
      <w:tr>
        <w:tc>
          <w:tcPr>
            <w:tcW w:type="dxa" w:w="23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Carga en el evento</w:t>
            </w:r>
          </w:p>
        </w:tc>
        <w:tc>
          <w:tcPr>
            <w:tcW w:type="dxa" w:w="23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 669 kW (≈64 %)</w:t>
            </w:r>
          </w:p>
        </w:tc>
        <w:tc>
          <w:tcPr>
            <w:tcW w:type="dxa" w:w="23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Velocidad</w:t>
            </w:r>
          </w:p>
        </w:tc>
        <w:tc>
          <w:tcPr>
            <w:tcW w:type="dxa" w:w="23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1.800 RPM</w:t>
            </w:r>
          </w:p>
        </w:tc>
      </w:tr>
      <w:tr>
        <w:tc>
          <w:tcPr>
            <w:tcW w:type="dxa" w:w="23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Frecuencia de barra</w:t>
            </w:r>
          </w:p>
        </w:tc>
        <w:tc>
          <w:tcPr>
            <w:tcW w:type="dxa" w:w="23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 59,9 – 60,0 Hz</w:t>
            </w:r>
          </w:p>
        </w:tc>
        <w:tc>
          <w:tcPr>
            <w:tcW w:type="dxa" w:w="23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Horas del equipo</w:t>
            </w:r>
          </w:p>
        </w:tc>
        <w:tc>
          <w:tcPr>
            <w:tcW w:type="dxa" w:w="23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11.454 h</w:t>
            </w:r>
          </w:p>
        </w:tc>
      </w:tr>
      <w:tr>
        <w:tc>
          <w:tcPr>
            <w:tcW w:type="dxa" w:w="23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Ubicación</w:t>
            </w:r>
          </w:p>
        </w:tc>
        <w:tc>
          <w:tcPr>
            <w:tcW w:type="dxa" w:w="23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Costayaco — Colombia</w:t>
            </w:r>
          </w:p>
        </w:tc>
        <w:tc>
          <w:tcPr>
            <w:tcW w:type="dxa" w:w="23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Usuario</w:t>
            </w:r>
          </w:p>
        </w:tc>
        <w:tc>
          <w:tcPr>
            <w:tcW w:type="dxa" w:w="23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Gran Tierra Energy</w:t>
            </w:r>
          </w:p>
        </w:tc>
      </w:tr>
    </w:tbl>
    <w:p>
      <w:pPr>
        <w:pStyle w:val="Heading1"/>
        <w:spacing w:after="120" w:before="260"/>
      </w:pPr>
      <w:r>
        <w:rPr>
          <w:rFonts w:ascii="Calibri" w:cs="Calibri" w:eastAsia="Calibri" w:hAnsi="Calibri"/>
          <w:b/>
          <w:bCs/>
          <w:color w:val="1F3864"/>
          <w:sz w:val="28"/>
          <w:szCs w:val="28"/>
        </w:rPr>
        <w:t xml:space="preserve">3.  Descripción del evento</w:t>
      </w:r>
    </w:p>
    <w:p>
      <w:pPr>
        <w:spacing w:after="120" w:line="264"/>
      </w:pPr>
      <w:r>
        <w:rPr>
          <w:rFonts w:ascii="Calibri" w:cs="Calibri" w:eastAsia="Calibri" w:hAnsi="Calibri"/>
          <w:b/>
          <w:bCs/>
          <w:color w:val="375623"/>
          <w:sz w:val="18"/>
          <w:szCs w:val="18"/>
        </w:rPr>
        <w:t xml:space="preserve">[HECHO] </w:t>
      </w:r>
      <w:r>
        <w:rPr>
          <w:rFonts w:ascii="Calibri" w:cs="Calibri" w:eastAsia="Calibri" w:hAnsi="Calibri"/>
          <w:sz w:val="21"/>
          <w:szCs w:val="21"/>
        </w:rPr>
        <w:t xml:space="preserve">Según el reporte FO-GE-033, durante la operación del grupo se presentó un evento de detonación del motor, seguido de la pérdida de comunicación entre el PLC de control y el panel de operador HMI, lo que ocasionó la salida de línea del equipo. En la inspección no se hallaron anomalías visibles en el cableado de comunicación ni daño físico en los componentes revisados.</w:t>
      </w:r>
    </w:p>
    <w:p>
      <w:pPr>
        <w:spacing w:after="120" w:line="264"/>
      </w:pPr>
      <w:r>
        <w:rPr>
          <w:rFonts w:ascii="Calibri" w:cs="Calibri" w:eastAsia="Calibri" w:hAnsi="Calibri"/>
          <w:sz w:val="21"/>
          <w:szCs w:val="21"/>
        </w:rPr>
        <w:t xml:space="preserve">Como acción correctiva se realizó inspección del cableado de comunicación, verificación de conexiones PLC–HMI, reinicio (reset) de los módulos de control y verificación del restablecimiento de las comunicaciones. Recuperada la comunicación, la unidad fue puesta nuevamente en servicio, ingresando a línea a las 19:25. No fue necesario reemplazar componentes.</w:t>
      </w:r>
    </w:p>
    <w:p>
      <w:pPr>
        <w:pStyle w:val="Heading1"/>
        <w:spacing w:after="120" w:before="260"/>
      </w:pPr>
      <w:r>
        <w:rPr>
          <w:rFonts w:ascii="Calibri" w:cs="Calibri" w:eastAsia="Calibri" w:hAnsi="Calibri"/>
          <w:b/>
          <w:bCs/>
          <w:color w:val="1F3864"/>
          <w:sz w:val="28"/>
          <w:szCs w:val="28"/>
        </w:rPr>
        <w:t xml:space="preserve">4.  Línea de tiempo del evento</w:t>
      </w:r>
    </w:p>
    <w:p>
      <w:pPr>
        <w:spacing w:after="120" w:line="264"/>
      </w:pPr>
      <w:r>
        <w:rPr>
          <w:rFonts w:ascii="Calibri" w:cs="Calibri" w:eastAsia="Calibri" w:hAnsi="Calibri"/>
          <w:sz w:val="21"/>
          <w:szCs w:val="21"/>
        </w:rPr>
        <w:t xml:space="preserve">Reconstruida a partir de la telemetría del historiador (ventana 14:50 – 15:47). Los tiempos del historiador son más precisos que la referencia redondeada de las «15:30» registrada en el FO-GE-033.</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60"/>
        <w:gridCol w:w="1800"/>
        <w:gridCol w:w="6000"/>
      </w:tblGrid>
      <w:tr>
        <w:trPr>
          <w:tblHeader/>
        </w:trPr>
        <w:tc>
          <w:tcPr>
            <w:tcW w:type="dxa" w:w="1560"/>
            <w:shd w:fill="1F3864"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20"/>
                <w:szCs w:val="20"/>
              </w:rPr>
              <w:t xml:space="preserve">Hora (aprox.)</w:t>
            </w:r>
          </w:p>
        </w:tc>
        <w:tc>
          <w:tcPr>
            <w:tcW w:type="dxa" w:w="1800"/>
            <w:shd w:fill="1F3864"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20"/>
                <w:szCs w:val="20"/>
              </w:rPr>
              <w:t xml:space="preserve">Régimen</w:t>
            </w:r>
          </w:p>
        </w:tc>
        <w:tc>
          <w:tcPr>
            <w:tcW w:type="dxa" w:w="6000"/>
            <w:shd w:fill="1F3864"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20"/>
                <w:szCs w:val="20"/>
              </w:rPr>
              <w:t xml:space="preserve">Evento</w:t>
            </w:r>
          </w:p>
        </w:tc>
      </w:tr>
      <w:tr>
        <w:tc>
          <w:tcPr>
            <w:tcW w:type="dxa" w:w="156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14:50 – 15:12</w:t>
            </w:r>
          </w:p>
        </w:tc>
        <w:tc>
          <w:tcPr>
            <w:tcW w:type="dxa" w:w="1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Operación estable</w:t>
            </w:r>
          </w:p>
        </w:tc>
        <w:tc>
          <w:tcPr>
            <w:tcW w:type="dxa" w:w="6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~669 kW, 104 A, 1.800 RPM, ~60 Hz — sin anomalías</w:t>
            </w:r>
          </w:p>
        </w:tc>
      </w:tr>
      <w:tr>
        <w:tc>
          <w:tcPr>
            <w:tcW w:type="dxa" w:w="156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 15:12</w:t>
            </w:r>
          </w:p>
        </w:tc>
        <w:tc>
          <w:tcPr>
            <w:tcW w:type="dxa" w:w="1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Perturbación</w:t>
            </w:r>
          </w:p>
        </w:tc>
        <w:tc>
          <w:tcPr>
            <w:tcW w:type="dxa" w:w="6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Caída abrupta de potencia y corriente; excursión de velocidad y frecuencia</w:t>
            </w:r>
          </w:p>
        </w:tc>
      </w:tr>
      <w:tr>
        <w:tc>
          <w:tcPr>
            <w:tcW w:type="dxa" w:w="156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15:12 – 15:23</w:t>
            </w:r>
          </w:p>
        </w:tc>
        <w:tc>
          <w:tcPr>
            <w:tcW w:type="dxa" w:w="1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Inestabilidad</w:t>
            </w:r>
          </w:p>
        </w:tc>
        <w:tc>
          <w:tcPr>
            <w:tcW w:type="dxa" w:w="6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Operación oscilatoria (~11 min); intentos de reestabilización</w:t>
            </w:r>
          </w:p>
        </w:tc>
      </w:tr>
      <w:tr>
        <w:tc>
          <w:tcPr>
            <w:tcW w:type="dxa" w:w="156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 15:23:02</w:t>
            </w:r>
          </w:p>
        </w:tc>
        <w:tc>
          <w:tcPr>
            <w:tcW w:type="dxa" w:w="1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Pérdida de datos</w:t>
            </w:r>
          </w:p>
        </w:tc>
        <w:tc>
          <w:tcPr>
            <w:tcW w:type="dxa" w:w="6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Congelamiento de señales del generador (potencia/corriente/reactivo fijos; velocidad → 0); pérdida de observabilidad</w:t>
            </w:r>
          </w:p>
        </w:tc>
      </w:tr>
      <w:tr>
        <w:tc>
          <w:tcPr>
            <w:tcW w:type="dxa" w:w="156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15:23 – 19:25</w:t>
            </w:r>
          </w:p>
        </w:tc>
        <w:tc>
          <w:tcPr>
            <w:tcW w:type="dxa" w:w="1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Fuera de servicio</w:t>
            </w:r>
          </w:p>
        </w:tc>
        <w:tc>
          <w:tcPr>
            <w:tcW w:type="dxa" w:w="6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Unidad fuera de línea; reinicio de módulos de control</w:t>
            </w:r>
          </w:p>
        </w:tc>
      </w:tr>
      <w:tr>
        <w:tc>
          <w:tcPr>
            <w:tcW w:type="dxa" w:w="156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19:25</w:t>
            </w:r>
          </w:p>
        </w:tc>
        <w:tc>
          <w:tcPr>
            <w:tcW w:type="dxa" w:w="18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Restablecimiento</w:t>
            </w:r>
          </w:p>
        </w:tc>
        <w:tc>
          <w:tcPr>
            <w:tcW w:type="dxa" w:w="60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Comunicación recuperada; retorno a línea</w:t>
            </w:r>
          </w:p>
        </w:tc>
      </w:tr>
    </w:tbl>
    <w:p>
      <w:pPr>
        <w:pStyle w:val="Heading1"/>
        <w:spacing w:after="120" w:before="260"/>
      </w:pPr>
      <w:r>
        <w:rPr>
          <w:rFonts w:ascii="Calibri" w:cs="Calibri" w:eastAsia="Calibri" w:hAnsi="Calibri"/>
          <w:b/>
          <w:bCs/>
          <w:color w:val="1F3864"/>
          <w:sz w:val="28"/>
          <w:szCs w:val="28"/>
        </w:rPr>
        <w:t xml:space="preserve">5.  Análisis técnico de la telemetría</w:t>
      </w:r>
    </w:p>
    <w:p>
      <w:pPr>
        <w:spacing w:after="120" w:line="264"/>
      </w:pPr>
      <w:r>
        <w:rPr>
          <w:rFonts w:ascii="Calibri" w:cs="Calibri" w:eastAsia="Calibri" w:hAnsi="Calibri"/>
          <w:sz w:val="21"/>
          <w:szCs w:val="21"/>
        </w:rPr>
        <w:t xml:space="preserve">La tendencia presenta tres regímenes claramente diferenciados (ver figura). </w:t>
      </w:r>
      <w:r>
        <w:rPr>
          <w:rFonts w:ascii="Calibri" w:cs="Calibri" w:eastAsia="Calibri" w:hAnsi="Calibri"/>
          <w:b/>
          <w:bCs/>
          <w:sz w:val="21"/>
          <w:szCs w:val="21"/>
        </w:rPr>
        <w:t xml:space="preserve">Régimen 1 — operación estable</w:t>
      </w:r>
      <w:r>
        <w:rPr>
          <w:rFonts w:ascii="Calibri" w:cs="Calibri" w:eastAsia="Calibri" w:hAnsi="Calibri"/>
          <w:sz w:val="21"/>
          <w:szCs w:val="21"/>
        </w:rPr>
        <w:t xml:space="preserve"> hasta ~15:12: potencia, corriente, velocidad y frecuencia planas y sanas. </w:t>
      </w:r>
      <w:r>
        <w:rPr>
          <w:rFonts w:ascii="Calibri" w:cs="Calibri" w:eastAsia="Calibri" w:hAnsi="Calibri"/>
          <w:b/>
          <w:bCs/>
          <w:sz w:val="21"/>
          <w:szCs w:val="21"/>
        </w:rPr>
        <w:t xml:space="preserve">Régimen 2 — perturbación e inestabilidad</w:t>
      </w:r>
      <w:r>
        <w:rPr>
          <w:rFonts w:ascii="Calibri" w:cs="Calibri" w:eastAsia="Calibri" w:hAnsi="Calibri"/>
          <w:sz w:val="21"/>
          <w:szCs w:val="21"/>
        </w:rPr>
        <w:t xml:space="preserve"> (~15:12 – 15:23): caída abrupta y escalonada de potencia activa y corriente (a aproximadamente un tercio del valor previo), excursión de velocidad y perturbación de frecuencia, seguidas de ~11 minutos de operación oscilatoria. </w:t>
      </w:r>
      <w:r>
        <w:rPr>
          <w:rFonts w:ascii="Calibri" w:cs="Calibri" w:eastAsia="Calibri" w:hAnsi="Calibri"/>
          <w:b/>
          <w:bCs/>
          <w:sz w:val="21"/>
          <w:szCs w:val="21"/>
        </w:rPr>
        <w:t xml:space="preserve">Régimen 3 — congelamiento de señal</w:t>
      </w:r>
      <w:r>
        <w:rPr>
          <w:rFonts w:ascii="Calibri" w:cs="Calibri" w:eastAsia="Calibri" w:hAnsi="Calibri"/>
          <w:sz w:val="21"/>
          <w:szCs w:val="21"/>
        </w:rPr>
        <w:t xml:space="preserve"> (desde ~15:23:02): las trazas dejan de comportarse como mediciones físicas.</w:t>
      </w:r>
    </w:p>
    <w:p>
      <w:pPr>
        <w:spacing w:after="40" w:before="60"/>
        <w:jc w:val="center"/>
      </w:pPr>
      <w:r>
        <w:drawing>
          <wp:inline distT="0" distB="0" distL="0" distR="0">
            <wp:extent cx="6096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714750"/>
                    </a:xfrm>
                    <a:prstGeom prst="rect">
                      <a:avLst/>
                    </a:prstGeom>
                  </pic:spPr>
                </pic:pic>
              </a:graphicData>
            </a:graphic>
          </wp:inline>
        </w:drawing>
      </w:r>
    </w:p>
    <w:p>
      <w:pPr>
        <w:spacing w:after="160"/>
        <w:jc w:val="center"/>
      </w:pPr>
      <w:r>
        <w:rPr>
          <w:rFonts w:ascii="Calibri" w:cs="Calibri" w:eastAsia="Calibri" w:hAnsi="Calibri"/>
          <w:i/>
          <w:iCs/>
          <w:color w:val="595959"/>
          <w:sz w:val="17"/>
          <w:szCs w:val="17"/>
        </w:rPr>
        <w:t xml:space="preserve">Figura 1. Tendencia CPW-03 (historiador), 11-jun-2026. Tres regímenes: operación estable, perturbación/inestabilidad y congelamiento de señal.</w:t>
      </w:r>
    </w:p>
    <w:p>
      <w:pPr>
        <w:spacing w:after="120" w:line="264"/>
      </w:pPr>
      <w:r>
        <w:rPr>
          <w:rFonts w:ascii="Calibri" w:cs="Calibri" w:eastAsia="Calibri" w:hAnsi="Calibri"/>
          <w:sz w:val="21"/>
          <w:szCs w:val="21"/>
        </w:rPr>
        <w:t xml:space="preserve">El elemento diagnóstico central es la </w:t>
      </w:r>
      <w:r>
        <w:rPr>
          <w:rFonts w:ascii="Calibri" w:cs="Calibri" w:eastAsia="Calibri" w:hAnsi="Calibri"/>
          <w:b/>
          <w:bCs/>
          <w:sz w:val="21"/>
          <w:szCs w:val="21"/>
        </w:rPr>
        <w:t xml:space="preserve">contradicción física del Régimen 3</w:t>
      </w:r>
      <w:r>
        <w:rPr>
          <w:rFonts w:ascii="Calibri" w:cs="Calibri" w:eastAsia="Calibri" w:hAnsi="Calibri"/>
          <w:sz w:val="21"/>
          <w:szCs w:val="21"/>
        </w:rPr>
        <w:t xml:space="preserve">: tras las 15:23, la potencia y la corriente quedan «pegadas» en un valor constante mientras la velocidad marca 0 RPM. </w:t>
      </w:r>
      <w:r>
        <w:rPr>
          <w:rFonts w:ascii="Calibri" w:cs="Calibri" w:eastAsia="Calibri" w:hAnsi="Calibri"/>
          <w:b/>
          <w:bCs/>
          <w:sz w:val="21"/>
          <w:szCs w:val="21"/>
        </w:rPr>
        <w:t xml:space="preserve">No es posible tener 0 RPM y ~1.000 kW simultáneamente</w:t>
      </w:r>
      <w:r>
        <w:rPr>
          <w:rFonts w:ascii="Calibri" w:cs="Calibri" w:eastAsia="Calibri" w:hAnsi="Calibri"/>
          <w:sz w:val="21"/>
          <w:szCs w:val="21"/>
        </w:rPr>
        <w:t xml:space="preserve">; una línea perfectamente plana durante minutos, junto con esa incoherencia, es la firma inequívoca de un congelamiento de datos («último valor retenido»), no de un estado real de la máquina. En términos de confiabilidad, a las ~15:23 se perdió la observabilidad de la unidad.</w:t>
      </w:r>
    </w:p>
    <w:p>
      <w:pPr>
        <w:spacing w:after="120" w:line="264"/>
      </w:pPr>
      <w:r>
        <w:rPr>
          <w:rFonts w:ascii="Calibri" w:cs="Calibri" w:eastAsia="Calibri" w:hAnsi="Calibri"/>
          <w:b/>
          <w:bCs/>
          <w:color w:val="9C6500"/>
          <w:sz w:val="18"/>
          <w:szCs w:val="18"/>
        </w:rPr>
        <w:t xml:space="preserve">[HIPÓTESIS] </w:t>
      </w:r>
      <w:r>
        <w:rPr>
          <w:rFonts w:ascii="Calibri" w:cs="Calibri" w:eastAsia="Calibri" w:hAnsi="Calibri"/>
          <w:sz w:val="21"/>
          <w:szCs w:val="21"/>
        </w:rPr>
        <w:t xml:space="preserve">Dado que la frecuencia de barra se mantuvo cerca de su valor nominal mientras los tags del generador se congelaban, el congelamiento sería específico de la trayectoria de datos del genset (enlace PLC/controlador–historiador/HMI), coherente con la pérdida de comunicación PLC↔HMI reportada, y no un colapso real de la barra.</w:t>
      </w:r>
    </w:p>
    <w:p>
      <w:pPr>
        <w:pStyle w:val="Heading1"/>
        <w:spacing w:after="120" w:before="260"/>
      </w:pPr>
      <w:r>
        <w:rPr>
          <w:rFonts w:ascii="Calibri" w:cs="Calibri" w:eastAsia="Calibri" w:hAnsi="Calibri"/>
          <w:b/>
          <w:bCs/>
          <w:color w:val="1F3864"/>
          <w:sz w:val="28"/>
          <w:szCs w:val="28"/>
        </w:rPr>
        <w:t xml:space="preserve">6.  Análisis de causa raíz</w:t>
      </w:r>
    </w:p>
    <w:p>
      <w:pPr>
        <w:spacing w:after="120" w:line="264"/>
      </w:pPr>
      <w:r>
        <w:rPr>
          <w:rFonts w:ascii="Calibri" w:cs="Calibri" w:eastAsia="Calibri" w:hAnsi="Calibri"/>
          <w:b/>
          <w:bCs/>
          <w:color w:val="375623"/>
          <w:sz w:val="18"/>
          <w:szCs w:val="18"/>
        </w:rPr>
        <w:t xml:space="preserve">[HECHO] </w:t>
      </w:r>
      <w:r>
        <w:rPr>
          <w:rFonts w:ascii="Calibri" w:cs="Calibri" w:eastAsia="Calibri" w:hAnsi="Calibri"/>
          <w:b/>
          <w:bCs/>
          <w:sz w:val="21"/>
          <w:szCs w:val="21"/>
        </w:rPr>
        <w:t xml:space="preserve">La causa raíz no fue determinada. </w:t>
      </w:r>
      <w:r>
        <w:rPr>
          <w:rFonts w:ascii="Calibri" w:cs="Calibri" w:eastAsia="Calibri" w:hAnsi="Calibri"/>
          <w:sz w:val="21"/>
          <w:szCs w:val="21"/>
        </w:rPr>
        <w:t xml:space="preserve">El propio FO-GE-033 lo declara: no se encontraron componentes defectuosos ni evidencia de falla física permanente, y el evento se clasificó como una pérdida temporal de comunicación corregida mediante reinicio de los módulos.</w:t>
      </w:r>
    </w:p>
    <w:p>
      <w:pPr>
        <w:spacing w:after="120" w:line="264"/>
      </w:pPr>
      <w:r>
        <w:rPr>
          <w:rFonts w:ascii="Calibri" w:cs="Calibri" w:eastAsia="Calibri" w:hAnsi="Calibri"/>
          <w:sz w:val="21"/>
          <w:szCs w:val="21"/>
        </w:rPr>
        <w:t xml:space="preserve">La telemetría confirma dos fenómenos acoplados en el tiempo pero distintos: (1) una perturbación real de proceso/combustión ~15:12 y (2) una pérdida posterior de datos supervisorios ~15:23. Sin embargo, </w:t>
      </w:r>
      <w:r>
        <w:rPr>
          <w:rFonts w:ascii="Calibri" w:cs="Calibri" w:eastAsia="Calibri" w:hAnsi="Calibri"/>
          <w:b/>
          <w:bCs/>
          <w:sz w:val="21"/>
          <w:szCs w:val="21"/>
        </w:rPr>
        <w:t xml:space="preserve">la telemetría por sí sola no establece la causa física de la perturbación inicial</w:t>
      </w:r>
      <w:r>
        <w:rPr>
          <w:rFonts w:ascii="Calibri" w:cs="Calibri" w:eastAsia="Calibri" w:hAnsi="Calibri"/>
          <w:sz w:val="21"/>
          <w:szCs w:val="21"/>
        </w:rPr>
        <w:t xml:space="preserve">, porque las variables registradas no incluyen temperatura de mezcla (MAT), temperaturas de escape por cilindro, presión de admisión, intensidad de detonación ni temperaturas de aceite/refrigerante.</w:t>
      </w:r>
    </w:p>
    <w:p>
      <w:pPr>
        <w:pStyle w:val="Heading2"/>
        <w:spacing w:after="100" w:before="180"/>
      </w:pPr>
      <w:r>
        <w:rPr>
          <w:rFonts w:ascii="Calibri" w:cs="Calibri" w:eastAsia="Calibri" w:hAnsi="Calibri"/>
          <w:b/>
          <w:bCs/>
          <w:color w:val="2E5496"/>
          <w:sz w:val="24"/>
          <w:szCs w:val="24"/>
        </w:rPr>
        <w:t xml:space="preserve">Hipótesis abiertas (no confirmadas)</w:t>
      </w:r>
    </w:p>
    <w:p>
      <w:pPr>
        <w:spacing w:after="120" w:line="264"/>
      </w:pPr>
      <w:r>
        <w:rPr>
          <w:rFonts w:ascii="Calibri" w:cs="Calibri" w:eastAsia="Calibri" w:hAnsi="Calibri"/>
          <w:b/>
          <w:bCs/>
          <w:color w:val="9C6500"/>
          <w:sz w:val="18"/>
          <w:szCs w:val="18"/>
        </w:rPr>
        <w:t xml:space="preserve">[HIPÓTESIS] </w:t>
      </w:r>
      <w:r>
        <w:rPr>
          <w:rFonts w:ascii="Calibri" w:cs="Calibri" w:eastAsia="Calibri" w:hAnsi="Calibri"/>
          <w:sz w:val="21"/>
          <w:szCs w:val="21"/>
        </w:rPr>
        <w:t xml:space="preserve">(a) Evento de combustión de origen mecánico (detonación) por alta temperatura de mezcla (MAT), calidad/composición del gas o timing de encendido.  (b) Disturbio de origen eléctrico/de barra o rechazo parcial de carga. Ninguna de las dos puede confirmarse ni descartarse con los datos disponibles.</w:t>
      </w:r>
    </w:p>
    <w:p>
      <w:pPr>
        <w:spacing w:after="120" w:line="264"/>
      </w:pPr>
      <w:r>
        <w:rPr>
          <w:rFonts w:ascii="Calibri" w:cs="Calibri" w:eastAsia="Calibri" w:hAnsi="Calibri"/>
          <w:b/>
          <w:bCs/>
          <w:color w:val="9C1F1F"/>
          <w:sz w:val="18"/>
          <w:szCs w:val="18"/>
        </w:rPr>
        <w:t xml:space="preserve">[PENDIENTE] </w:t>
      </w:r>
      <w:r>
        <w:rPr>
          <w:rFonts w:ascii="Calibri" w:cs="Calibri" w:eastAsia="Calibri" w:hAnsi="Calibri"/>
          <w:sz w:val="21"/>
          <w:szCs w:val="21"/>
        </w:rPr>
        <w:t xml:space="preserve">Se deja constancia de que atribuciones manejadas en borradores previos —«detonación por alta MAT» como causa confirmada, «presión &lt; 3 / ≈ -305» e «intercooler / contaminación de gas»— </w:t>
      </w:r>
      <w:r>
        <w:rPr>
          <w:rFonts w:ascii="Calibri" w:cs="Calibri" w:eastAsia="Calibri" w:hAnsi="Calibri"/>
          <w:b/>
          <w:bCs/>
          <w:sz w:val="21"/>
          <w:szCs w:val="21"/>
        </w:rPr>
        <w:t xml:space="preserve">no tienen fuente trazable</w:t>
      </w:r>
      <w:r>
        <w:rPr>
          <w:rFonts w:ascii="Calibri" w:cs="Calibri" w:eastAsia="Calibri" w:hAnsi="Calibri"/>
          <w:sz w:val="21"/>
          <w:szCs w:val="21"/>
        </w:rPr>
        <w:t xml:space="preserve"> en el FO-GE-033 ni en la telemetría, y por lo tanto no se sostienen como hechos en este informe.</w:t>
      </w:r>
    </w:p>
    <w:p>
      <w:pPr>
        <w:pStyle w:val="Heading1"/>
        <w:spacing w:after="120" w:before="260"/>
      </w:pPr>
      <w:r>
        <w:rPr>
          <w:rFonts w:ascii="Calibri" w:cs="Calibri" w:eastAsia="Calibri" w:hAnsi="Calibri"/>
          <w:b/>
          <w:bCs/>
          <w:color w:val="1F3864"/>
          <w:sz w:val="28"/>
          <w:szCs w:val="28"/>
        </w:rPr>
        <w:t xml:space="preserve">7.  Matriz de trazabilidad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300"/>
        <w:gridCol w:w="1560"/>
        <w:gridCol w:w="3500"/>
      </w:tblGrid>
      <w:tr>
        <w:trPr>
          <w:tblHeader/>
        </w:trPr>
        <w:tc>
          <w:tcPr>
            <w:tcW w:type="dxa" w:w="4300"/>
            <w:shd w:fill="1F3864"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20"/>
                <w:szCs w:val="20"/>
              </w:rPr>
              <w:t xml:space="preserve">Afirmación</w:t>
            </w:r>
          </w:p>
        </w:tc>
        <w:tc>
          <w:tcPr>
            <w:tcW w:type="dxa" w:w="1560"/>
            <w:shd w:fill="1F3864"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20"/>
                <w:szCs w:val="20"/>
              </w:rPr>
              <w:t xml:space="preserve">Clasificación</w:t>
            </w:r>
          </w:p>
        </w:tc>
        <w:tc>
          <w:tcPr>
            <w:tcW w:type="dxa" w:w="3500"/>
            <w:shd w:fill="1F3864"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20"/>
                <w:szCs w:val="20"/>
              </w:rPr>
              <w:t xml:space="preserve">Fuente / observación</w:t>
            </w:r>
          </w:p>
        </w:tc>
      </w:tr>
      <w:tr>
        <w:tc>
          <w:tcPr>
            <w:tcW w:type="dxa" w:w="4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Perturbación súbita de potencia y corriente ~15:12</w:t>
            </w:r>
          </w:p>
        </w:tc>
        <w:tc>
          <w:tcPr>
            <w:tcW w:type="dxa" w:w="1560"/>
            <w:tcMar>
              <w:top w:type="dxa" w:w="60"/>
              <w:left w:type="dxa" w:w="110"/>
              <w:bottom w:type="dxa" w:w="60"/>
              <w:right w:type="dxa" w:w="110"/>
            </w:tcMar>
          </w:tcPr>
          <w:p>
            <w:pPr>
              <w:spacing w:after="0" w:line="252"/>
              <w:jc w:val="left"/>
            </w:pPr>
            <w:r>
              <w:rPr>
                <w:rFonts w:ascii="Calibri" w:cs="Calibri" w:eastAsia="Calibri" w:hAnsi="Calibri"/>
                <w:b/>
                <w:bCs/>
                <w:color w:val="375623"/>
                <w:sz w:val="18"/>
                <w:szCs w:val="18"/>
              </w:rPr>
              <w:t xml:space="preserve">HECHO</w:t>
            </w:r>
          </w:p>
        </w:tc>
        <w:tc>
          <w:tcPr>
            <w:tcW w:type="dxa" w:w="3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Telemetría del historiador</w:t>
            </w:r>
          </w:p>
        </w:tc>
      </w:tr>
      <w:tr>
        <w:tc>
          <w:tcPr>
            <w:tcW w:type="dxa" w:w="4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Pérdida de observabilidad (congelamiento) ~15:23</w:t>
            </w:r>
          </w:p>
        </w:tc>
        <w:tc>
          <w:tcPr>
            <w:tcW w:type="dxa" w:w="1560"/>
            <w:tcMar>
              <w:top w:type="dxa" w:w="60"/>
              <w:left w:type="dxa" w:w="110"/>
              <w:bottom w:type="dxa" w:w="60"/>
              <w:right w:type="dxa" w:w="110"/>
            </w:tcMar>
          </w:tcPr>
          <w:p>
            <w:pPr>
              <w:spacing w:after="0" w:line="252"/>
              <w:jc w:val="left"/>
            </w:pPr>
            <w:r>
              <w:rPr>
                <w:rFonts w:ascii="Calibri" w:cs="Calibri" w:eastAsia="Calibri" w:hAnsi="Calibri"/>
                <w:b/>
                <w:bCs/>
                <w:color w:val="375623"/>
                <w:sz w:val="18"/>
                <w:szCs w:val="18"/>
              </w:rPr>
              <w:t xml:space="preserve">HECHO</w:t>
            </w:r>
          </w:p>
        </w:tc>
        <w:tc>
          <w:tcPr>
            <w:tcW w:type="dxa" w:w="3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Telemetría (línea plana + 0 RPM con potencia fija)</w:t>
            </w:r>
          </w:p>
        </w:tc>
      </w:tr>
      <w:tr>
        <w:tc>
          <w:tcPr>
            <w:tcW w:type="dxa" w:w="4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Detonación del motor previa a la pérdida de comunicación</w:t>
            </w:r>
          </w:p>
        </w:tc>
        <w:tc>
          <w:tcPr>
            <w:tcW w:type="dxa" w:w="1560"/>
            <w:tcMar>
              <w:top w:type="dxa" w:w="60"/>
              <w:left w:type="dxa" w:w="110"/>
              <w:bottom w:type="dxa" w:w="60"/>
              <w:right w:type="dxa" w:w="110"/>
            </w:tcMar>
          </w:tcPr>
          <w:p>
            <w:pPr>
              <w:spacing w:after="0" w:line="252"/>
              <w:jc w:val="left"/>
            </w:pPr>
            <w:r>
              <w:rPr>
                <w:rFonts w:ascii="Calibri" w:cs="Calibri" w:eastAsia="Calibri" w:hAnsi="Calibri"/>
                <w:b/>
                <w:bCs/>
                <w:color w:val="375623"/>
                <w:sz w:val="18"/>
                <w:szCs w:val="18"/>
              </w:rPr>
              <w:t xml:space="preserve">HECHO</w:t>
            </w:r>
          </w:p>
        </w:tc>
        <w:tc>
          <w:tcPr>
            <w:tcW w:type="dxa" w:w="3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FO-GE-033 (antecedentes)</w:t>
            </w:r>
          </w:p>
        </w:tc>
      </w:tr>
      <w:tr>
        <w:tc>
          <w:tcPr>
            <w:tcW w:type="dxa" w:w="4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Retorno a línea a las 19:25; sin reemplazo de componentes</w:t>
            </w:r>
          </w:p>
        </w:tc>
        <w:tc>
          <w:tcPr>
            <w:tcW w:type="dxa" w:w="1560"/>
            <w:tcMar>
              <w:top w:type="dxa" w:w="60"/>
              <w:left w:type="dxa" w:w="110"/>
              <w:bottom w:type="dxa" w:w="60"/>
              <w:right w:type="dxa" w:w="110"/>
            </w:tcMar>
          </w:tcPr>
          <w:p>
            <w:pPr>
              <w:spacing w:after="0" w:line="252"/>
              <w:jc w:val="left"/>
            </w:pPr>
            <w:r>
              <w:rPr>
                <w:rFonts w:ascii="Calibri" w:cs="Calibri" w:eastAsia="Calibri" w:hAnsi="Calibri"/>
                <w:b/>
                <w:bCs/>
                <w:color w:val="375623"/>
                <w:sz w:val="18"/>
                <w:szCs w:val="18"/>
              </w:rPr>
              <w:t xml:space="preserve">HECHO</w:t>
            </w:r>
          </w:p>
        </w:tc>
        <w:tc>
          <w:tcPr>
            <w:tcW w:type="dxa" w:w="3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FO-GE-033</w:t>
            </w:r>
          </w:p>
        </w:tc>
      </w:tr>
      <w:tr>
        <w:tc>
          <w:tcPr>
            <w:tcW w:type="dxa" w:w="4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Detonación causada por alta temperatura de mezcla (MAT)</w:t>
            </w:r>
          </w:p>
        </w:tc>
        <w:tc>
          <w:tcPr>
            <w:tcW w:type="dxa" w:w="1560"/>
            <w:tcMar>
              <w:top w:type="dxa" w:w="60"/>
              <w:left w:type="dxa" w:w="110"/>
              <w:bottom w:type="dxa" w:w="60"/>
              <w:right w:type="dxa" w:w="110"/>
            </w:tcMar>
          </w:tcPr>
          <w:p>
            <w:pPr>
              <w:spacing w:after="0" w:line="252"/>
              <w:jc w:val="left"/>
            </w:pPr>
            <w:r>
              <w:rPr>
                <w:rFonts w:ascii="Calibri" w:cs="Calibri" w:eastAsia="Calibri" w:hAnsi="Calibri"/>
                <w:b/>
                <w:bCs/>
                <w:color w:val="9C6500"/>
                <w:sz w:val="18"/>
                <w:szCs w:val="18"/>
              </w:rPr>
              <w:t xml:space="preserve">HIPÓTESIS</w:t>
            </w:r>
          </w:p>
        </w:tc>
        <w:tc>
          <w:tcPr>
            <w:tcW w:type="dxa" w:w="3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No hay variable térmica registrada que lo confirme</w:t>
            </w:r>
          </w:p>
        </w:tc>
      </w:tr>
      <w:tr>
        <w:tc>
          <w:tcPr>
            <w:tcW w:type="dxa" w:w="4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Origen eléctrico / rechazo de carga</w:t>
            </w:r>
          </w:p>
        </w:tc>
        <w:tc>
          <w:tcPr>
            <w:tcW w:type="dxa" w:w="1560"/>
            <w:tcMar>
              <w:top w:type="dxa" w:w="60"/>
              <w:left w:type="dxa" w:w="110"/>
              <w:bottom w:type="dxa" w:w="60"/>
              <w:right w:type="dxa" w:w="110"/>
            </w:tcMar>
          </w:tcPr>
          <w:p>
            <w:pPr>
              <w:spacing w:after="0" w:line="252"/>
              <w:jc w:val="left"/>
            </w:pPr>
            <w:r>
              <w:rPr>
                <w:rFonts w:ascii="Calibri" w:cs="Calibri" w:eastAsia="Calibri" w:hAnsi="Calibri"/>
                <w:b/>
                <w:bCs/>
                <w:color w:val="9C6500"/>
                <w:sz w:val="18"/>
                <w:szCs w:val="18"/>
              </w:rPr>
              <w:t xml:space="preserve">HIPÓTESIS</w:t>
            </w:r>
          </w:p>
        </w:tc>
        <w:tc>
          <w:tcPr>
            <w:tcW w:type="dxa" w:w="3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No descartable con los tags disponibles</w:t>
            </w:r>
          </w:p>
        </w:tc>
      </w:tr>
      <w:tr>
        <w:tc>
          <w:tcPr>
            <w:tcW w:type="dxa" w:w="4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Presión &lt; 3 / ≈ -305</w:t>
            </w:r>
          </w:p>
        </w:tc>
        <w:tc>
          <w:tcPr>
            <w:tcW w:type="dxa" w:w="1560"/>
            <w:tcMar>
              <w:top w:type="dxa" w:w="60"/>
              <w:left w:type="dxa" w:w="110"/>
              <w:bottom w:type="dxa" w:w="60"/>
              <w:right w:type="dxa" w:w="110"/>
            </w:tcMar>
          </w:tcPr>
          <w:p>
            <w:pPr>
              <w:spacing w:after="0" w:line="252"/>
              <w:jc w:val="left"/>
            </w:pPr>
            <w:r>
              <w:rPr>
                <w:rFonts w:ascii="Calibri" w:cs="Calibri" w:eastAsia="Calibri" w:hAnsi="Calibri"/>
                <w:b/>
                <w:bCs/>
                <w:color w:val="9C1F1F"/>
                <w:sz w:val="18"/>
                <w:szCs w:val="18"/>
              </w:rPr>
              <w:t xml:space="preserve">PENDIENTE</w:t>
            </w:r>
          </w:p>
        </w:tc>
        <w:tc>
          <w:tcPr>
            <w:tcW w:type="dxa" w:w="3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Sin fuente en ninguna evidencia disponible</w:t>
            </w:r>
          </w:p>
        </w:tc>
      </w:tr>
      <w:tr>
        <w:tc>
          <w:tcPr>
            <w:tcW w:type="dxa" w:w="4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Intercooler / contaminación de gas</w:t>
            </w:r>
          </w:p>
        </w:tc>
        <w:tc>
          <w:tcPr>
            <w:tcW w:type="dxa" w:w="1560"/>
            <w:tcMar>
              <w:top w:type="dxa" w:w="60"/>
              <w:left w:type="dxa" w:w="110"/>
              <w:bottom w:type="dxa" w:w="60"/>
              <w:right w:type="dxa" w:w="110"/>
            </w:tcMar>
          </w:tcPr>
          <w:p>
            <w:pPr>
              <w:spacing w:after="0" w:line="252"/>
              <w:jc w:val="left"/>
            </w:pPr>
            <w:r>
              <w:rPr>
                <w:rFonts w:ascii="Calibri" w:cs="Calibri" w:eastAsia="Calibri" w:hAnsi="Calibri"/>
                <w:b/>
                <w:bCs/>
                <w:color w:val="9C1F1F"/>
                <w:sz w:val="18"/>
                <w:szCs w:val="18"/>
              </w:rPr>
              <w:t xml:space="preserve">PENDIENTE</w:t>
            </w:r>
          </w:p>
        </w:tc>
        <w:tc>
          <w:tcPr>
            <w:tcW w:type="dxa" w:w="3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No documentado; hipótesis sin sustento</w:t>
            </w:r>
          </w:p>
        </w:tc>
      </w:tr>
      <w:tr>
        <w:tc>
          <w:tcPr>
            <w:tcW w:type="dxa" w:w="4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Energía no generada</w:t>
            </w:r>
          </w:p>
        </w:tc>
        <w:tc>
          <w:tcPr>
            <w:tcW w:type="dxa" w:w="1560"/>
            <w:tcMar>
              <w:top w:type="dxa" w:w="60"/>
              <w:left w:type="dxa" w:w="110"/>
              <w:bottom w:type="dxa" w:w="60"/>
              <w:right w:type="dxa" w:w="110"/>
            </w:tcMar>
          </w:tcPr>
          <w:p>
            <w:pPr>
              <w:spacing w:after="0" w:line="252"/>
              <w:jc w:val="left"/>
            </w:pPr>
            <w:r>
              <w:rPr>
                <w:rFonts w:ascii="Calibri" w:cs="Calibri" w:eastAsia="Calibri" w:hAnsi="Calibri"/>
                <w:b/>
                <w:bCs/>
                <w:color w:val="9C1F1F"/>
                <w:sz w:val="18"/>
                <w:szCs w:val="18"/>
              </w:rPr>
              <w:t xml:space="preserve">PENDIENTE</w:t>
            </w:r>
          </w:p>
        </w:tc>
        <w:tc>
          <w:tcPr>
            <w:tcW w:type="dxa" w:w="3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No consta en el reporte (ver sección 10)</w:t>
            </w:r>
          </w:p>
        </w:tc>
      </w:tr>
      <w:tr>
        <w:tc>
          <w:tcPr>
            <w:tcW w:type="dxa" w:w="4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Causa raíz</w:t>
            </w:r>
          </w:p>
        </w:tc>
        <w:tc>
          <w:tcPr>
            <w:tcW w:type="dxa" w:w="1560"/>
            <w:tcMar>
              <w:top w:type="dxa" w:w="60"/>
              <w:left w:type="dxa" w:w="110"/>
              <w:bottom w:type="dxa" w:w="60"/>
              <w:right w:type="dxa" w:w="110"/>
            </w:tcMar>
          </w:tcPr>
          <w:p>
            <w:pPr>
              <w:spacing w:after="0" w:line="252"/>
              <w:jc w:val="left"/>
            </w:pPr>
            <w:r>
              <w:rPr>
                <w:rFonts w:ascii="Calibri" w:cs="Calibri" w:eastAsia="Calibri" w:hAnsi="Calibri"/>
                <w:b/>
                <w:bCs/>
                <w:color w:val="9C1F1F"/>
                <w:sz w:val="18"/>
                <w:szCs w:val="18"/>
              </w:rPr>
              <w:t xml:space="preserve">PENDIENTE</w:t>
            </w:r>
          </w:p>
        </w:tc>
        <w:tc>
          <w:tcPr>
            <w:tcW w:type="dxa" w:w="35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No determinada (declarado en FO-GE-033)</w:t>
            </w:r>
          </w:p>
        </w:tc>
      </w:tr>
    </w:tbl>
    <w:p>
      <w:pPr>
        <w:pStyle w:val="Heading1"/>
        <w:spacing w:after="120" w:before="260"/>
      </w:pPr>
      <w:r>
        <w:rPr>
          <w:rFonts w:ascii="Calibri" w:cs="Calibri" w:eastAsia="Calibri" w:hAnsi="Calibri"/>
          <w:b/>
          <w:bCs/>
          <w:color w:val="1F3864"/>
          <w:sz w:val="28"/>
          <w:szCs w:val="28"/>
        </w:rPr>
        <w:t xml:space="preserve">8.  Análisis de 5 porqués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20"/>
        <w:gridCol w:w="3300"/>
        <w:gridCol w:w="5640"/>
      </w:tblGrid>
      <w:tr>
        <w:trPr>
          <w:tblHeader/>
        </w:trPr>
        <w:tc>
          <w:tcPr>
            <w:tcW w:type="dxa" w:w="420"/>
            <w:shd w:fill="1F3864"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20"/>
                <w:szCs w:val="20"/>
              </w:rPr>
              <w:t xml:space="preserve">#</w:t>
            </w:r>
          </w:p>
        </w:tc>
        <w:tc>
          <w:tcPr>
            <w:tcW w:type="dxa" w:w="3300"/>
            <w:shd w:fill="1F3864"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20"/>
                <w:szCs w:val="20"/>
              </w:rPr>
              <w:t xml:space="preserve">Pregunta</w:t>
            </w:r>
          </w:p>
        </w:tc>
        <w:tc>
          <w:tcPr>
            <w:tcW w:type="dxa" w:w="5640"/>
            <w:shd w:fill="1F3864" w:color="auto" w:val="clear"/>
            <w:tcMar>
              <w:top w:type="dxa" w:w="60"/>
              <w:left w:type="dxa" w:w="110"/>
              <w:bottom w:type="dxa" w:w="60"/>
              <w:right w:type="dxa" w:w="110"/>
            </w:tcMar>
          </w:tcPr>
          <w:p>
            <w:pPr>
              <w:spacing w:after="0" w:line="252"/>
              <w:jc w:val="left"/>
            </w:pPr>
            <w:r>
              <w:rPr>
                <w:rFonts w:ascii="Calibri" w:cs="Calibri" w:eastAsia="Calibri" w:hAnsi="Calibri"/>
                <w:b/>
                <w:bCs/>
                <w:color w:val="FFFFFF"/>
                <w:sz w:val="20"/>
                <w:szCs w:val="20"/>
              </w:rPr>
              <w:t xml:space="preserve">Respuesta</w:t>
            </w:r>
          </w:p>
        </w:tc>
      </w:tr>
      <w:tr>
        <w:tc>
          <w:tcPr>
            <w:tcW w:type="dxa" w:w="42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1</w:t>
            </w:r>
          </w:p>
        </w:tc>
        <w:tc>
          <w:tcPr>
            <w:tcW w:type="dxa" w:w="3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¿Por qué salió de línea la unidad?</w:t>
            </w:r>
          </w:p>
        </w:tc>
        <w:tc>
          <w:tcPr>
            <w:tcW w:type="dxa" w:w="56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Perturbación de proceso + pérdida de comunicación PLC↔HMI  [HECHO]</w:t>
            </w:r>
          </w:p>
        </w:tc>
      </w:tr>
      <w:tr>
        <w:tc>
          <w:tcPr>
            <w:tcW w:type="dxa" w:w="42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2</w:t>
            </w:r>
          </w:p>
        </w:tc>
        <w:tc>
          <w:tcPr>
            <w:tcW w:type="dxa" w:w="3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¿Por qué se perdió la comunicación?</w:t>
            </w:r>
          </w:p>
        </w:tc>
        <w:tc>
          <w:tcPr>
            <w:tcW w:type="dxa" w:w="56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Fallo transitorio de los módulos de control; se recuperó con reset, sin daño  [HECHO]</w:t>
            </w:r>
          </w:p>
        </w:tc>
      </w:tr>
      <w:tr>
        <w:tc>
          <w:tcPr>
            <w:tcW w:type="dxa" w:w="42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3</w:t>
            </w:r>
          </w:p>
        </w:tc>
        <w:tc>
          <w:tcPr>
            <w:tcW w:type="dxa" w:w="3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¿Por qué falló el módulo de forma transitoria?</w:t>
            </w:r>
          </w:p>
        </w:tc>
        <w:tc>
          <w:tcPr>
            <w:tcW w:type="dxa" w:w="56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No determinado  →  hipótesis: perturbación eléctrica asociada al evento / inestabilidad de firmware o enlace  [HIPÓTESIS]</w:t>
            </w:r>
          </w:p>
        </w:tc>
      </w:tr>
      <w:tr>
        <w:tc>
          <w:tcPr>
            <w:tcW w:type="dxa" w:w="42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4</w:t>
            </w:r>
          </w:p>
        </w:tc>
        <w:tc>
          <w:tcPr>
            <w:tcW w:type="dxa" w:w="3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¿Por qué ocurrió la perturbación/detonación?</w:t>
            </w:r>
          </w:p>
        </w:tc>
        <w:tc>
          <w:tcPr>
            <w:tcW w:type="dxa" w:w="56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No diagnosticada  →  hipótesis: MAT alta / calidad de gas / timing  [HIPÓTESIS]</w:t>
            </w:r>
          </w:p>
        </w:tc>
      </w:tr>
      <w:tr>
        <w:tc>
          <w:tcPr>
            <w:tcW w:type="dxa" w:w="42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5</w:t>
            </w:r>
          </w:p>
        </w:tc>
        <w:tc>
          <w:tcPr>
            <w:tcW w:type="dxa" w:w="330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¿Por qué no se determinó la causa?</w:t>
            </w:r>
          </w:p>
        </w:tc>
        <w:tc>
          <w:tcPr>
            <w:tcW w:type="dxa" w:w="5640"/>
            <w:tcMar>
              <w:top w:type="dxa" w:w="60"/>
              <w:left w:type="dxa" w:w="110"/>
              <w:bottom w:type="dxa" w:w="60"/>
              <w:right w:type="dxa" w:w="110"/>
            </w:tcMar>
          </w:tcPr>
          <w:p>
            <w:pPr>
              <w:spacing w:after="0" w:line="252"/>
              <w:jc w:val="left"/>
            </w:pPr>
            <w:r>
              <w:rPr>
                <w:rFonts w:ascii="Calibri" w:cs="Calibri" w:eastAsia="Calibri" w:hAnsi="Calibri"/>
                <w:b w:val="false"/>
                <w:bCs w:val="false"/>
                <w:sz w:val="20"/>
                <w:szCs w:val="20"/>
              </w:rPr>
              <w:t xml:space="preserve">No hubo componente defectuoso ni evidencia física; faltó capturar y analizar el log de eventos y las variables térmicas en el instante  [HECHO/PENDIENTE]</w:t>
            </w:r>
          </w:p>
        </w:tc>
      </w:tr>
    </w:tbl>
    <w:p>
      <w:pPr>
        <w:pStyle w:val="Heading1"/>
        <w:spacing w:after="120" w:before="260"/>
      </w:pPr>
      <w:r>
        <w:rPr>
          <w:rFonts w:ascii="Calibri" w:cs="Calibri" w:eastAsia="Calibri" w:hAnsi="Calibri"/>
          <w:b/>
          <w:bCs/>
          <w:color w:val="1F3864"/>
          <w:sz w:val="28"/>
          <w:szCs w:val="28"/>
        </w:rPr>
        <w:t xml:space="preserve">9.  Acciones ejecutadas</w:t>
      </w:r>
    </w:p>
    <w:p>
      <w:pPr>
        <w:spacing w:after="120" w:line="264"/>
      </w:pPr>
      <w:r>
        <w:rPr>
          <w:rFonts w:ascii="Calibri" w:cs="Calibri" w:eastAsia="Calibri" w:hAnsi="Calibri"/>
          <w:b/>
          <w:bCs/>
          <w:color w:val="375623"/>
          <w:sz w:val="18"/>
          <w:szCs w:val="18"/>
        </w:rPr>
        <w:t xml:space="preserve">[HECHO] </w:t>
      </w:r>
      <w:r>
        <w:rPr>
          <w:rFonts w:ascii="Calibri" w:cs="Calibri" w:eastAsia="Calibri" w:hAnsi="Calibri"/>
          <w:sz w:val="21"/>
          <w:szCs w:val="21"/>
        </w:rPr>
        <w:t xml:space="preserve">Registradas en el FO-GE-033: inspección de continuidad y estado del cableado de comunicación; reinicio de los módulos de control; confirmación del restablecimiento de la comunicación PLC–HMI; arranque, sincronización e ingreso a línea a las 19:25; verificación de operación normal posterior al arranque. Resultado: la unidad recuperó su condición operativa y permaneció funcionando normalmente tras el restablecimiento.</w:t>
      </w:r>
    </w:p>
    <w:p>
      <w:pPr>
        <w:pStyle w:val="Heading1"/>
        <w:spacing w:after="120" w:before="260"/>
      </w:pPr>
      <w:r>
        <w:rPr>
          <w:rFonts w:ascii="Calibri" w:cs="Calibri" w:eastAsia="Calibri" w:hAnsi="Calibri"/>
          <w:b/>
          <w:bCs/>
          <w:color w:val="1F3864"/>
          <w:sz w:val="28"/>
          <w:szCs w:val="28"/>
        </w:rPr>
        <w:t xml:space="preserve">10.  Impacto operativo</w:t>
      </w:r>
    </w:p>
    <w:p>
      <w:pPr>
        <w:spacing w:after="120" w:line="264"/>
      </w:pPr>
      <w:r>
        <w:rPr>
          <w:rFonts w:ascii="Calibri" w:cs="Calibri" w:eastAsia="Calibri" w:hAnsi="Calibri"/>
          <w:b/>
          <w:bCs/>
          <w:color w:val="9C1F1F"/>
          <w:sz w:val="18"/>
          <w:szCs w:val="18"/>
        </w:rPr>
        <w:t xml:space="preserve">[PENDIENTE] </w:t>
      </w:r>
      <w:r>
        <w:rPr>
          <w:rFonts w:ascii="Calibri" w:cs="Calibri" w:eastAsia="Calibri" w:hAnsi="Calibri"/>
          <w:sz w:val="21"/>
          <w:szCs w:val="21"/>
        </w:rPr>
        <w:t xml:space="preserve">La energía no generada no consta en el reporte. </w:t>
      </w:r>
      <w:r>
        <w:rPr>
          <w:rFonts w:ascii="Calibri" w:cs="Calibri" w:eastAsia="Calibri" w:hAnsi="Calibri"/>
          <w:b/>
          <w:bCs/>
          <w:sz w:val="21"/>
          <w:szCs w:val="21"/>
        </w:rPr>
        <w:t xml:space="preserve">Estimación (supuesto): </w:t>
      </w:r>
      <w:r>
        <w:rPr>
          <w:rFonts w:ascii="Calibri" w:cs="Calibri" w:eastAsia="Calibri" w:hAnsi="Calibri"/>
          <w:sz w:val="21"/>
          <w:szCs w:val="21"/>
        </w:rPr>
        <w:t xml:space="preserve">asumiendo que la unidad habría sostenido su carga previa al evento (~669 kW) durante la indisponibilidad de ~3 h 55 min, la energía no generada sería del orden de </w:t>
      </w:r>
      <w:r>
        <w:rPr>
          <w:rFonts w:ascii="Calibri" w:cs="Calibri" w:eastAsia="Calibri" w:hAnsi="Calibri"/>
          <w:b/>
          <w:bCs/>
          <w:sz w:val="21"/>
          <w:szCs w:val="21"/>
        </w:rPr>
        <w:t xml:space="preserve">≈ 2,6 MWh</w:t>
      </w:r>
      <w:r>
        <w:rPr>
          <w:rFonts w:ascii="Calibri" w:cs="Calibri" w:eastAsia="Calibri" w:hAnsi="Calibri"/>
          <w:sz w:val="21"/>
          <w:szCs w:val="21"/>
        </w:rPr>
        <w:t xml:space="preserve">. Es un cálculo con supuestos, no un dato documentado, y depende del despacho real; el valor exacto se obtiene con las lecturas del totalizador (Total_Active_Output) antes del evento y tras el retorno a línea.</w:t>
      </w:r>
    </w:p>
    <w:p>
      <w:pPr>
        <w:pStyle w:val="Heading1"/>
        <w:spacing w:after="120" w:before="260"/>
      </w:pPr>
      <w:r>
        <w:rPr>
          <w:rFonts w:ascii="Calibri" w:cs="Calibri" w:eastAsia="Calibri" w:hAnsi="Calibri"/>
          <w:b/>
          <w:bCs/>
          <w:color w:val="1F3864"/>
          <w:sz w:val="28"/>
          <w:szCs w:val="28"/>
        </w:rPr>
        <w:t xml:space="preserve">11.  Recomendaciones de confiabilidad</w:t>
      </w:r>
    </w:p>
    <w:p>
      <w:pPr>
        <w:pStyle w:val="ListParagraph"/>
        <w:numPr>
          <w:ilvl w:val="0"/>
          <w:numId w:val="2"/>
        </w:numPr>
        <w:spacing w:after="100"/>
      </w:pPr>
      <w:r>
        <w:rPr>
          <w:rFonts w:ascii="Calibri" w:cs="Calibri" w:eastAsia="Calibri" w:hAnsi="Calibri"/>
          <w:sz w:val="21"/>
          <w:szCs w:val="21"/>
        </w:rPr>
        <w:t xml:space="preserve">Recuperar del historiador, para la ventana 15:10 – 15:24, las variables de combustión y térmicas (MAT, temperaturas de escape por cilindro, presión de admisión, timing de encendido) y el log de eventos/alarmas de PLC y HMI. Es la única vía para confirmar o descartar la detonación por MAT y distinguir origen mecánico vs. eléctrico.</w:t>
      </w:r>
    </w:p>
    <w:p>
      <w:pPr>
        <w:pStyle w:val="ListParagraph"/>
        <w:numPr>
          <w:ilvl w:val="0"/>
          <w:numId w:val="2"/>
        </w:numPr>
        <w:spacing w:after="100"/>
      </w:pPr>
      <w:r>
        <w:rPr>
          <w:rFonts w:ascii="Calibri" w:cs="Calibri" w:eastAsia="Calibri" w:hAnsi="Calibri"/>
          <w:sz w:val="21"/>
          <w:szCs w:val="21"/>
        </w:rPr>
        <w:t xml:space="preserve">Cuantificar la energía no generada con lecturas limpias del totalizador, para dimensionar el impacto sin estimaciones.</w:t>
      </w:r>
    </w:p>
    <w:p>
      <w:pPr>
        <w:pStyle w:val="ListParagraph"/>
        <w:numPr>
          <w:ilvl w:val="0"/>
          <w:numId w:val="2"/>
        </w:numPr>
        <w:spacing w:after="100"/>
      </w:pPr>
      <w:r>
        <w:rPr>
          <w:rFonts w:ascii="Calibri" w:cs="Calibri" w:eastAsia="Calibri" w:hAnsi="Calibri"/>
          <w:sz w:val="21"/>
          <w:szCs w:val="21"/>
        </w:rPr>
        <w:t xml:space="preserve">Evaluar la robustez del enlace de comunicación PLC↔HMI del genset (firmware, cableado, interferencia). Al tratarse de un patrón «No Fault Found» (el reset resolvió el síntoma sin causa física evidente), implementar monitoreo del historial de eventos/alarmas para detectar recurrencias tempranas.</w:t>
      </w:r>
    </w:p>
    <w:p>
      <w:pPr>
        <w:pStyle w:val="ListParagraph"/>
        <w:numPr>
          <w:ilvl w:val="0"/>
          <w:numId w:val="2"/>
        </w:numPr>
        <w:spacing w:after="100"/>
      </w:pPr>
      <w:r>
        <w:rPr>
          <w:rFonts w:ascii="Calibri" w:cs="Calibri" w:eastAsia="Calibri" w:hAnsi="Calibri"/>
          <w:sz w:val="21"/>
          <w:szCs w:val="21"/>
        </w:rPr>
        <w:t xml:space="preserve">Verificar los parámetros de combustión y la calidad del gas del período, si la información del controlador Jenbacher lo permite.</w:t>
      </w:r>
    </w:p>
    <w:p>
      <w:pPr>
        <w:pStyle w:val="ListParagraph"/>
        <w:numPr>
          <w:ilvl w:val="0"/>
          <w:numId w:val="2"/>
        </w:numPr>
        <w:spacing w:after="100"/>
      </w:pPr>
      <w:r>
        <w:rPr>
          <w:rFonts w:ascii="Calibri" w:cs="Calibri" w:eastAsia="Calibri" w:hAnsi="Calibri"/>
          <w:sz w:val="21"/>
          <w:szCs w:val="21"/>
        </w:rPr>
        <w:t xml:space="preserve">Registrar formalmente el evento como causa raíz abierta y mantener seguimiento hasta su cierre.</w:t>
      </w:r>
    </w:p>
    <w:p>
      <w:pPr>
        <w:pStyle w:val="Heading1"/>
        <w:spacing w:after="120" w:before="260"/>
      </w:pPr>
      <w:r>
        <w:rPr>
          <w:rFonts w:ascii="Calibri" w:cs="Calibri" w:eastAsia="Calibri" w:hAnsi="Calibri"/>
          <w:b/>
          <w:bCs/>
          <w:color w:val="1F3864"/>
          <w:sz w:val="28"/>
          <w:szCs w:val="28"/>
        </w:rPr>
        <w:t xml:space="preserve">12.  Conclusión y estado de cierre</w:t>
      </w:r>
    </w:p>
    <w:p>
      <w:pPr>
        <w:spacing w:after="120" w:line="264"/>
      </w:pPr>
      <w:r>
        <w:rPr>
          <w:rFonts w:ascii="Calibri" w:cs="Calibri" w:eastAsia="Calibri" w:hAnsi="Calibri"/>
          <w:sz w:val="21"/>
          <w:szCs w:val="21"/>
        </w:rPr>
        <w:t xml:space="preserve">CPW-03 sufrió una perturbación de proceso (~15:12) concurrente en el tiempo con una posterior pérdida de comunicación PLC↔HMI (~15:23) que provocó su salida de línea durante ~4 horas. La comunicación se restableció por reinicio de módulos, sin reemplazo de componentes ni daño físico evidenciado, y la unidad retornó a operación normal a las 19:25. </w:t>
      </w:r>
      <w:r>
        <w:rPr>
          <w:rFonts w:ascii="Calibri" w:cs="Calibri" w:eastAsia="Calibri" w:hAnsi="Calibri"/>
          <w:b/>
          <w:bCs/>
          <w:sz w:val="21"/>
          <w:szCs w:val="21"/>
        </w:rPr>
        <w:t xml:space="preserve">La causa raíz —del disturbio inicial y de la pérdida de comunicación— permanece indeterminada</w:t>
      </w:r>
      <w:r>
        <w:rPr>
          <w:rFonts w:ascii="Calibri" w:cs="Calibri" w:eastAsia="Calibri" w:hAnsi="Calibri"/>
          <w:sz w:val="21"/>
          <w:szCs w:val="21"/>
        </w:rPr>
        <w:t xml:space="preserve">. En consecuencia, el evento se cataloga como </w:t>
      </w:r>
      <w:r>
        <w:rPr>
          <w:rFonts w:ascii="Calibri" w:cs="Calibri" w:eastAsia="Calibri" w:hAnsi="Calibri"/>
          <w:b/>
          <w:bCs/>
          <w:sz w:val="21"/>
          <w:szCs w:val="21"/>
        </w:rPr>
        <w:t xml:space="preserve">cierre operativo con causa raíz abierta</w:t>
      </w:r>
      <w:r>
        <w:rPr>
          <w:rFonts w:ascii="Calibri" w:cs="Calibri" w:eastAsia="Calibri" w:hAnsi="Calibri"/>
          <w:sz w:val="21"/>
          <w:szCs w:val="21"/>
        </w:rPr>
        <w:t xml:space="preserve">, con riesgo de recurrencia vigente hasta completar el análisis de las variables térmicas y del historial de eventos indicado en las recomendaciones.</w:t>
      </w:r>
    </w:p>
    <w:p>
      <w:pPr>
        <w:pBdr>
          <w:top w:val="single" w:color="BFBFBF" w:sz="4"/>
        </w:pBdr>
        <w:spacing w:before="220"/>
      </w:pPr>
      <w:r>
        <w:rPr>
          <w:rFonts w:ascii="Calibri" w:cs="Calibri" w:eastAsia="Calibri" w:hAnsi="Calibri"/>
          <w:i/>
          <w:iCs/>
          <w:color w:val="595959"/>
          <w:sz w:val="16"/>
          <w:szCs w:val="16"/>
        </w:rPr>
        <w:t xml:space="preserve">Documento de análisis técnico. Las secciones marcadas [HIPÓTESIS] y [PENDIENTE] no constituyen hechos confirmados y requieren verificación con fuentes primarias.</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Copower — Análisis de Confiabilidad · Confidencial · </w:t>
    </w:r>
    <w:r>
      <w:rPr>
        <w:rFonts w:ascii="Calibri" w:cs="Calibri" w:eastAsia="Calibri" w:hAnsi="Calibri"/>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Informe de análisis de falla · CPW-03 · 11-jun-2026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57a6b5eb22ad39422afce32546756dea0a095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2026-07-26T07:18:26.674Z</dcterms:created>
  <dcterms:modified xsi:type="dcterms:W3CDTF">2026-07-26T07:18:26.686Z</dcterms:modified>
</cp:coreProperties>
</file>

<file path=docProps/custom.xml><?xml version="1.0" encoding="utf-8"?>
<Properties xmlns="http://schemas.openxmlformats.org/officeDocument/2006/custom-properties" xmlns:vt="http://schemas.openxmlformats.org/officeDocument/2006/docPropsVTypes"/>
</file>