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864"/>
          <w:sz w:val="36"/>
          <w:szCs w:val="36"/>
        </w:rPr>
        <w:t xml:space="preserve">ANÁLISIS PROFUNDO DE INDICADORES</w:t>
      </w:r>
    </w:p>
    <w:p>
      <w:pPr>
        <w:spacing w:after="80"/>
        <w:jc w:val="center"/>
      </w:pPr>
      <w:r>
        <w:rPr>
          <w:b/>
          <w:bCs/>
          <w:color w:val="2E75B6"/>
          <w:sz w:val="28"/>
          <w:szCs w:val="28"/>
        </w:rPr>
        <w:t xml:space="preserve">COPOWER — Cuenca Putumayo Norte (PUTN)</w:t>
      </w:r>
    </w:p>
    <w:p>
      <w:pPr>
        <w:spacing w:after="400"/>
        <w:jc w:val="center"/>
      </w:pPr>
      <w:r>
        <w:rPr>
          <w:i/>
          <w:iCs/>
          <w:color w:val="595959"/>
          <w:sz w:val="20"/>
          <w:szCs w:val="20"/>
        </w:rPr>
        <w:t xml:space="preserve">Periodo: 01 al 30 de junio de 2026  |  Basado en Data Soporte de Cálculo (429 registros diarios) y Reporte de Indicadores</w:t>
      </w:r>
    </w:p>
    <w:p>
      <w:pPr>
        <w:pStyle w:val="Heading1"/>
        <w:spacing w:after="140" w:before="280"/>
      </w:pPr>
      <w:r>
        <w:t xml:space="preserve">1. Resumen ejecutivo</w:t>
      </w:r>
    </w:p>
    <w:p>
      <w:pPr>
        <w:spacing w:after="120"/>
      </w:pPr>
      <w:r>
        <w:t xml:space="preserve">Junio de 2026 cierra con cumplimiento contractual en ambos sistemas evaluados. Costayaco (Sistema N) alcanza 97.92% de Disponibilidad y Confiabilidad, con mejora de +5.04 pp y +3.87 pp frente a mayo, sosteniendo siete eventos correctivos — el mismo número que el mes anterior — pero con severidad e distribución distintas: el MTBF poblacional pasa de 500.39 h a 711.57 h y el MTTR sistémico baja de 5.32 h a 2.86 h. Vonu alcanza 100% en ambos indicadores, sin eventos correctivos en JIN-01 ni JIN-02.</w:t>
      </w:r>
    </w:p>
    <w:p>
      <w:pPr>
        <w:spacing w:after="120"/>
      </w:pPr>
      <w:r>
        <w:t xml:space="preserve">El activo dominante de la recurrencia cambia de CPW04 (mayo, 4 eventos) a CPW06 (junio, 3 eventos, RIESGO MEDIO). CPW01, CPW03, CPW05 y CPW07 registran un evento aislado cada uno. JIN-11 y JIN-12 se evalúan individualmente sobre una ventana de 19 días y quedan excluidas del consolidado sistémico por estar en etapa de estabilización.</w:t>
      </w:r>
    </w:p>
    <w:p>
      <w:pPr>
        <w:spacing w:after="120"/>
      </w:pPr>
      <w:r>
        <w:t xml:space="preserve">La generación total del periodo fue de 4,110,144 kWh: 3,499,840 kWh a gas en Costayaco (incluye JIN-11/JIN-12), 119,716 kWh de respaldo diésel y 490,588 kWh en Vonu. El análisis detallado de los 429 registros diarios del archivo de soporte muestra que, más allá de las fallas propias del equipo, una parte considerable de las horas en stand-by y fuera de línea responde a causas externas al parque de generación: fallas del Sistema Interconectado Nacional (SIN), paradas y maniobras de la MRU, y baja presión de gas en CYC por condiciones de suministro/clima.</w:t>
      </w:r>
    </w:p>
    <w:p>
      <w:pPr>
        <w:pStyle w:val="Heading1"/>
        <w:spacing w:after="140" w:before="280"/>
      </w:pPr>
      <w:r>
        <w:t xml:space="preserve">2. Cuadro de indicadores por unidad (dashboard consolidado)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900"/>
        <w:gridCol w:w="1100"/>
        <w:gridCol w:w="1100"/>
        <w:gridCol w:w="700"/>
        <w:gridCol w:w="1000"/>
        <w:gridCol w:w="800"/>
        <w:gridCol w:w="1500"/>
      </w:tblGrid>
      <w:tr>
        <w:trPr>
          <w:tblHeader/>
        </w:trPr>
        <w:tc>
          <w:tcPr>
            <w:tcW w:type="dxa" w:w="900"/>
            <w:shd w:fill="1F3864" w:val="clear"/>
            <w:tcMar>
              <w:top w:type="dxa" w:w="60"/>
              <w:left w:type="dxa" w:w="80"/>
              <w:bottom w:type="dxa" w:w="60"/>
              <w:right w:type="dxa" w:w="80"/>
            </w:tcMar>
          </w:tcPr>
          <w:p>
            <w:pPr>
              <w:jc w:val="center"/>
            </w:pPr>
            <w:r>
              <w:rPr>
                <w:b/>
                <w:bCs/>
                <w:color w:val="FFFFFF"/>
                <w:sz w:val="18"/>
                <w:szCs w:val="18"/>
              </w:rPr>
              <w:t xml:space="preserve">Unidad</w:t>
            </w:r>
          </w:p>
        </w:tc>
        <w:tc>
          <w:tcPr>
            <w:tcW w:type="dxa" w:w="1300"/>
            <w:shd w:fill="1F3864" w:val="clear"/>
            <w:tcMar>
              <w:top w:type="dxa" w:w="60"/>
              <w:left w:type="dxa" w:w="80"/>
              <w:bottom w:type="dxa" w:w="60"/>
              <w:right w:type="dxa" w:w="80"/>
            </w:tcMar>
          </w:tcPr>
          <w:p>
            <w:pPr>
              <w:jc w:val="center"/>
            </w:pPr>
            <w:r>
              <w:rPr>
                <w:b/>
                <w:bCs/>
                <w:color w:val="FFFFFF"/>
                <w:sz w:val="18"/>
                <w:szCs w:val="18"/>
              </w:rPr>
              <w:t xml:space="preserve">Campo</w:t>
            </w:r>
          </w:p>
        </w:tc>
        <w:tc>
          <w:tcPr>
            <w:tcW w:type="dxa" w:w="900"/>
            <w:shd w:fill="1F3864" w:val="clear"/>
            <w:tcMar>
              <w:top w:type="dxa" w:w="60"/>
              <w:left w:type="dxa" w:w="80"/>
              <w:bottom w:type="dxa" w:w="60"/>
              <w:right w:type="dxa" w:w="80"/>
            </w:tcMar>
          </w:tcPr>
          <w:p>
            <w:pPr>
              <w:jc w:val="center"/>
            </w:pPr>
            <w:r>
              <w:rPr>
                <w:b/>
                <w:bCs/>
                <w:color w:val="FFFFFF"/>
                <w:sz w:val="18"/>
                <w:szCs w:val="18"/>
              </w:rPr>
              <w:t xml:space="preserve">Stby(h)</w:t>
            </w:r>
          </w:p>
        </w:tc>
        <w:tc>
          <w:tcPr>
            <w:tcW w:type="dxa" w:w="1100"/>
            <w:shd w:fill="1F3864" w:val="clear"/>
            <w:tcMar>
              <w:top w:type="dxa" w:w="60"/>
              <w:left w:type="dxa" w:w="80"/>
              <w:bottom w:type="dxa" w:w="60"/>
              <w:right w:type="dxa" w:w="80"/>
            </w:tcMar>
          </w:tcPr>
          <w:p>
            <w:pPr>
              <w:jc w:val="center"/>
            </w:pPr>
            <w:r>
              <w:rPr>
                <w:b/>
                <w:bCs/>
                <w:color w:val="FFFFFF"/>
                <w:sz w:val="18"/>
                <w:szCs w:val="18"/>
              </w:rPr>
              <w:t xml:space="preserve">Disp.%</w:t>
            </w:r>
          </w:p>
        </w:tc>
        <w:tc>
          <w:tcPr>
            <w:tcW w:type="dxa" w:w="1100"/>
            <w:shd w:fill="1F3864" w:val="clear"/>
            <w:tcMar>
              <w:top w:type="dxa" w:w="60"/>
              <w:left w:type="dxa" w:w="80"/>
              <w:bottom w:type="dxa" w:w="60"/>
              <w:right w:type="dxa" w:w="80"/>
            </w:tcMar>
          </w:tcPr>
          <w:p>
            <w:pPr>
              <w:jc w:val="center"/>
            </w:pPr>
            <w:r>
              <w:rPr>
                <w:b/>
                <w:bCs/>
                <w:color w:val="FFFFFF"/>
                <w:sz w:val="18"/>
                <w:szCs w:val="18"/>
              </w:rPr>
              <w:t xml:space="preserve">Confiab.%</w:t>
            </w:r>
          </w:p>
        </w:tc>
        <w:tc>
          <w:tcPr>
            <w:tcW w:type="dxa" w:w="700"/>
            <w:shd w:fill="1F3864" w:val="clear"/>
            <w:tcMar>
              <w:top w:type="dxa" w:w="60"/>
              <w:left w:type="dxa" w:w="80"/>
              <w:bottom w:type="dxa" w:w="60"/>
              <w:right w:type="dxa" w:w="80"/>
            </w:tcMar>
          </w:tcPr>
          <w:p>
            <w:pPr>
              <w:jc w:val="center"/>
            </w:pPr>
            <w:r>
              <w:rPr>
                <w:b/>
                <w:bCs/>
                <w:color w:val="FFFFFF"/>
                <w:sz w:val="18"/>
                <w:szCs w:val="18"/>
              </w:rPr>
              <w:t xml:space="preserve">#Fallas</w:t>
            </w:r>
          </w:p>
        </w:tc>
        <w:tc>
          <w:tcPr>
            <w:tcW w:type="dxa" w:w="1000"/>
            <w:shd w:fill="1F3864" w:val="clear"/>
            <w:tcMar>
              <w:top w:type="dxa" w:w="60"/>
              <w:left w:type="dxa" w:w="80"/>
              <w:bottom w:type="dxa" w:w="60"/>
              <w:right w:type="dxa" w:w="80"/>
            </w:tcMar>
          </w:tcPr>
          <w:p>
            <w:pPr>
              <w:jc w:val="center"/>
            </w:pPr>
            <w:r>
              <w:rPr>
                <w:b/>
                <w:bCs/>
                <w:color w:val="FFFFFF"/>
                <w:sz w:val="18"/>
                <w:szCs w:val="18"/>
              </w:rPr>
              <w:t xml:space="preserve">MTBF(h)</w:t>
            </w:r>
          </w:p>
        </w:tc>
        <w:tc>
          <w:tcPr>
            <w:tcW w:type="dxa" w:w="800"/>
            <w:shd w:fill="1F3864" w:val="clear"/>
            <w:tcMar>
              <w:top w:type="dxa" w:w="60"/>
              <w:left w:type="dxa" w:w="80"/>
              <w:bottom w:type="dxa" w:w="60"/>
              <w:right w:type="dxa" w:w="80"/>
            </w:tcMar>
          </w:tcPr>
          <w:p>
            <w:pPr>
              <w:jc w:val="center"/>
            </w:pPr>
            <w:r>
              <w:rPr>
                <w:b/>
                <w:bCs/>
                <w:color w:val="FFFFFF"/>
                <w:sz w:val="18"/>
                <w:szCs w:val="18"/>
              </w:rPr>
              <w:t xml:space="preserve">MTTR(h)</w:t>
            </w:r>
          </w:p>
        </w:tc>
        <w:tc>
          <w:tcPr>
            <w:tcW w:type="dxa" w:w="1500"/>
            <w:shd w:fill="1F3864" w:val="clear"/>
            <w:tcMar>
              <w:top w:type="dxa" w:w="60"/>
              <w:left w:type="dxa" w:w="80"/>
              <w:bottom w:type="dxa" w:w="60"/>
              <w:right w:type="dxa" w:w="80"/>
            </w:tcMar>
          </w:tcPr>
          <w:p>
            <w:pPr>
              <w:jc w:val="center"/>
            </w:pPr>
            <w:r>
              <w:rPr>
                <w:b/>
                <w:bCs/>
                <w:color w:val="FFFFFF"/>
                <w:sz w:val="18"/>
                <w:szCs w:val="18"/>
              </w:rPr>
              <w:t xml:space="preserve">Riesgo</w:t>
            </w:r>
          </w:p>
        </w:tc>
      </w:tr>
      <w:tr>
        <w:tc>
          <w:tcPr>
            <w:tcW w:type="dxa" w:w="900"/>
            <w:tcMar>
              <w:top w:type="dxa" w:w="60"/>
              <w:left w:type="dxa" w:w="80"/>
              <w:bottom w:type="dxa" w:w="60"/>
              <w:right w:type="dxa" w:w="80"/>
            </w:tcMar>
          </w:tcPr>
          <w:p>
            <w:pPr>
              <w:jc w:val="left"/>
            </w:pPr>
            <w:r>
              <w:rPr>
                <w:b/>
                <w:bCs/>
                <w:sz w:val="18"/>
                <w:szCs w:val="18"/>
              </w:rPr>
              <w:t xml:space="preserve">CPW01</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146</w:t>
            </w:r>
          </w:p>
        </w:tc>
        <w:tc>
          <w:tcPr>
            <w:tcW w:type="dxa" w:w="1100"/>
            <w:tcMar>
              <w:top w:type="dxa" w:w="60"/>
              <w:left w:type="dxa" w:w="80"/>
              <w:bottom w:type="dxa" w:w="60"/>
              <w:right w:type="dxa" w:w="80"/>
            </w:tcMar>
          </w:tcPr>
          <w:p>
            <w:pPr>
              <w:jc w:val="center"/>
            </w:pPr>
            <w:r>
              <w:rPr>
                <w:b w:val="false"/>
                <w:bCs w:val="false"/>
                <w:sz w:val="18"/>
                <w:szCs w:val="18"/>
              </w:rPr>
              <w:t xml:space="preserve">99.72%</w:t>
            </w:r>
          </w:p>
        </w:tc>
        <w:tc>
          <w:tcPr>
            <w:tcW w:type="dxa" w:w="1100"/>
            <w:tcMar>
              <w:top w:type="dxa" w:w="60"/>
              <w:left w:type="dxa" w:w="80"/>
              <w:bottom w:type="dxa" w:w="60"/>
              <w:right w:type="dxa" w:w="80"/>
            </w:tcMar>
          </w:tcPr>
          <w:p>
            <w:pPr>
              <w:jc w:val="center"/>
            </w:pPr>
            <w:r>
              <w:rPr>
                <w:b w:val="false"/>
                <w:bCs w:val="false"/>
                <w:sz w:val="18"/>
                <w:szCs w:val="18"/>
              </w:rPr>
              <w:t xml:space="preserve">99.72%</w:t>
            </w:r>
          </w:p>
        </w:tc>
        <w:tc>
          <w:tcPr>
            <w:tcW w:type="dxa" w:w="700"/>
            <w:tcMar>
              <w:top w:type="dxa" w:w="60"/>
              <w:left w:type="dxa" w:w="80"/>
              <w:bottom w:type="dxa" w:w="60"/>
              <w:right w:type="dxa" w:w="80"/>
            </w:tcMar>
          </w:tcPr>
          <w:p>
            <w:pPr>
              <w:jc w:val="center"/>
            </w:pPr>
            <w:r>
              <w:rPr>
                <w:b w:val="false"/>
                <w:bCs w:val="false"/>
                <w:sz w:val="18"/>
                <w:szCs w:val="18"/>
              </w:rPr>
              <w:t xml:space="preserve">1</w:t>
            </w:r>
          </w:p>
        </w:tc>
        <w:tc>
          <w:tcPr>
            <w:tcW w:type="dxa" w:w="1000"/>
            <w:tcMar>
              <w:top w:type="dxa" w:w="60"/>
              <w:left w:type="dxa" w:w="80"/>
              <w:bottom w:type="dxa" w:w="60"/>
              <w:right w:type="dxa" w:w="80"/>
            </w:tcMar>
          </w:tcPr>
          <w:p>
            <w:pPr>
              <w:jc w:val="center"/>
            </w:pPr>
            <w:r>
              <w:rPr>
                <w:b w:val="false"/>
                <w:bCs w:val="false"/>
                <w:sz w:val="18"/>
                <w:szCs w:val="18"/>
              </w:rPr>
              <w:t xml:space="preserve">572.00</w:t>
            </w:r>
          </w:p>
        </w:tc>
        <w:tc>
          <w:tcPr>
            <w:tcW w:type="dxa" w:w="800"/>
            <w:tcMar>
              <w:top w:type="dxa" w:w="60"/>
              <w:left w:type="dxa" w:w="80"/>
              <w:bottom w:type="dxa" w:w="60"/>
              <w:right w:type="dxa" w:w="80"/>
            </w:tcMar>
          </w:tcPr>
          <w:p>
            <w:pPr>
              <w:jc w:val="center"/>
            </w:pPr>
            <w:r>
              <w:rPr>
                <w:b w:val="false"/>
                <w:bCs w:val="false"/>
                <w:sz w:val="18"/>
                <w:szCs w:val="18"/>
              </w:rPr>
              <w:t xml:space="preserve">2</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CPW02</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68</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700"/>
            <w:tcMar>
              <w:top w:type="dxa" w:w="60"/>
              <w:left w:type="dxa" w:w="80"/>
              <w:bottom w:type="dxa" w:w="60"/>
              <w:right w:type="dxa" w:w="80"/>
            </w:tcMar>
          </w:tcPr>
          <w:p>
            <w:pPr>
              <w:jc w:val="center"/>
            </w:pPr>
            <w:r>
              <w:rPr>
                <w:b w:val="false"/>
                <w:bCs w:val="false"/>
                <w:sz w:val="18"/>
                <w:szCs w:val="18"/>
              </w:rPr>
              <w:t xml:space="preserve">0</w:t>
            </w:r>
          </w:p>
        </w:tc>
        <w:tc>
          <w:tcPr>
            <w:tcW w:type="dxa" w:w="1000"/>
            <w:tcMar>
              <w:top w:type="dxa" w:w="60"/>
              <w:left w:type="dxa" w:w="80"/>
              <w:bottom w:type="dxa" w:w="60"/>
              <w:right w:type="dxa" w:w="80"/>
            </w:tcMar>
          </w:tcPr>
          <w:p>
            <w:pPr>
              <w:jc w:val="center"/>
            </w:pPr>
            <w:r>
              <w:rPr>
                <w:b w:val="false"/>
                <w:bCs w:val="false"/>
                <w:sz w:val="18"/>
                <w:szCs w:val="18"/>
              </w:rPr>
              <w:t xml:space="preserve">Sin Fallas</w:t>
            </w:r>
          </w:p>
        </w:tc>
        <w:tc>
          <w:tcPr>
            <w:tcW w:type="dxa" w:w="800"/>
            <w:tcMar>
              <w:top w:type="dxa" w:w="60"/>
              <w:left w:type="dxa" w:w="80"/>
              <w:bottom w:type="dxa" w:w="60"/>
              <w:right w:type="dxa" w:w="80"/>
            </w:tcMar>
          </w:tcPr>
          <w:p>
            <w:pPr>
              <w:jc w:val="center"/>
            </w:pPr>
            <w:r>
              <w:rPr>
                <w:b w:val="false"/>
                <w:bCs w:val="false"/>
                <w:sz w:val="18"/>
                <w:szCs w:val="18"/>
              </w:rPr>
              <w:t xml:space="preserve">0</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CPW03</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104</w:t>
            </w:r>
          </w:p>
        </w:tc>
        <w:tc>
          <w:tcPr>
            <w:tcW w:type="dxa" w:w="1100"/>
            <w:tcMar>
              <w:top w:type="dxa" w:w="60"/>
              <w:left w:type="dxa" w:w="80"/>
              <w:bottom w:type="dxa" w:w="60"/>
              <w:right w:type="dxa" w:w="80"/>
            </w:tcMar>
          </w:tcPr>
          <w:p>
            <w:pPr>
              <w:jc w:val="center"/>
            </w:pPr>
            <w:r>
              <w:rPr>
                <w:b w:val="false"/>
                <w:bCs w:val="false"/>
                <w:sz w:val="18"/>
                <w:szCs w:val="18"/>
              </w:rPr>
              <w:t xml:space="preserve">98.75%</w:t>
            </w:r>
          </w:p>
        </w:tc>
        <w:tc>
          <w:tcPr>
            <w:tcW w:type="dxa" w:w="1100"/>
            <w:tcMar>
              <w:top w:type="dxa" w:w="60"/>
              <w:left w:type="dxa" w:w="80"/>
              <w:bottom w:type="dxa" w:w="60"/>
              <w:right w:type="dxa" w:w="80"/>
            </w:tcMar>
          </w:tcPr>
          <w:p>
            <w:pPr>
              <w:jc w:val="center"/>
            </w:pPr>
            <w:r>
              <w:rPr>
                <w:b w:val="false"/>
                <w:bCs w:val="false"/>
                <w:sz w:val="18"/>
                <w:szCs w:val="18"/>
              </w:rPr>
              <w:t xml:space="preserve">99.31%</w:t>
            </w:r>
          </w:p>
        </w:tc>
        <w:tc>
          <w:tcPr>
            <w:tcW w:type="dxa" w:w="700"/>
            <w:tcMar>
              <w:top w:type="dxa" w:w="60"/>
              <w:left w:type="dxa" w:w="80"/>
              <w:bottom w:type="dxa" w:w="60"/>
              <w:right w:type="dxa" w:w="80"/>
            </w:tcMar>
          </w:tcPr>
          <w:p>
            <w:pPr>
              <w:jc w:val="center"/>
            </w:pPr>
            <w:r>
              <w:rPr>
                <w:b w:val="false"/>
                <w:bCs w:val="false"/>
                <w:sz w:val="18"/>
                <w:szCs w:val="18"/>
              </w:rPr>
              <w:t xml:space="preserve">1</w:t>
            </w:r>
          </w:p>
        </w:tc>
        <w:tc>
          <w:tcPr>
            <w:tcW w:type="dxa" w:w="1000"/>
            <w:tcMar>
              <w:top w:type="dxa" w:w="60"/>
              <w:left w:type="dxa" w:w="80"/>
              <w:bottom w:type="dxa" w:w="60"/>
              <w:right w:type="dxa" w:w="80"/>
            </w:tcMar>
          </w:tcPr>
          <w:p>
            <w:pPr>
              <w:jc w:val="center"/>
            </w:pPr>
            <w:r>
              <w:rPr>
                <w:b w:val="false"/>
                <w:bCs w:val="false"/>
                <w:sz w:val="18"/>
                <w:szCs w:val="18"/>
              </w:rPr>
              <w:t xml:space="preserve">607.00</w:t>
            </w:r>
          </w:p>
        </w:tc>
        <w:tc>
          <w:tcPr>
            <w:tcW w:type="dxa" w:w="800"/>
            <w:tcMar>
              <w:top w:type="dxa" w:w="60"/>
              <w:left w:type="dxa" w:w="80"/>
              <w:bottom w:type="dxa" w:w="60"/>
              <w:right w:type="dxa" w:w="80"/>
            </w:tcMar>
          </w:tcPr>
          <w:p>
            <w:pPr>
              <w:jc w:val="center"/>
            </w:pPr>
            <w:r>
              <w:rPr>
                <w:b w:val="false"/>
                <w:bCs w:val="false"/>
                <w:sz w:val="18"/>
                <w:szCs w:val="18"/>
              </w:rPr>
              <w:t xml:space="preserve">5</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CPW04</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12</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700"/>
            <w:tcMar>
              <w:top w:type="dxa" w:w="60"/>
              <w:left w:type="dxa" w:w="80"/>
              <w:bottom w:type="dxa" w:w="60"/>
              <w:right w:type="dxa" w:w="80"/>
            </w:tcMar>
          </w:tcPr>
          <w:p>
            <w:pPr>
              <w:jc w:val="center"/>
            </w:pPr>
            <w:r>
              <w:rPr>
                <w:b w:val="false"/>
                <w:bCs w:val="false"/>
                <w:sz w:val="18"/>
                <w:szCs w:val="18"/>
              </w:rPr>
              <w:t xml:space="preserve">0</w:t>
            </w:r>
          </w:p>
        </w:tc>
        <w:tc>
          <w:tcPr>
            <w:tcW w:type="dxa" w:w="1000"/>
            <w:tcMar>
              <w:top w:type="dxa" w:w="60"/>
              <w:left w:type="dxa" w:w="80"/>
              <w:bottom w:type="dxa" w:w="60"/>
              <w:right w:type="dxa" w:w="80"/>
            </w:tcMar>
          </w:tcPr>
          <w:p>
            <w:pPr>
              <w:jc w:val="center"/>
            </w:pPr>
            <w:r>
              <w:rPr>
                <w:b w:val="false"/>
                <w:bCs w:val="false"/>
                <w:sz w:val="18"/>
                <w:szCs w:val="18"/>
              </w:rPr>
              <w:t xml:space="preserve">Sin Fallas</w:t>
            </w:r>
          </w:p>
        </w:tc>
        <w:tc>
          <w:tcPr>
            <w:tcW w:type="dxa" w:w="800"/>
            <w:tcMar>
              <w:top w:type="dxa" w:w="60"/>
              <w:left w:type="dxa" w:w="80"/>
              <w:bottom w:type="dxa" w:w="60"/>
              <w:right w:type="dxa" w:w="80"/>
            </w:tcMar>
          </w:tcPr>
          <w:p>
            <w:pPr>
              <w:jc w:val="center"/>
            </w:pPr>
            <w:r>
              <w:rPr>
                <w:b w:val="false"/>
                <w:bCs w:val="false"/>
                <w:sz w:val="18"/>
                <w:szCs w:val="18"/>
              </w:rPr>
              <w:t xml:space="preserve">0</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CPW05</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13</w:t>
            </w:r>
          </w:p>
        </w:tc>
        <w:tc>
          <w:tcPr>
            <w:tcW w:type="dxa" w:w="1100"/>
            <w:tcMar>
              <w:top w:type="dxa" w:w="60"/>
              <w:left w:type="dxa" w:w="80"/>
              <w:bottom w:type="dxa" w:w="60"/>
              <w:right w:type="dxa" w:w="80"/>
            </w:tcMar>
          </w:tcPr>
          <w:p>
            <w:pPr>
              <w:jc w:val="center"/>
            </w:pPr>
            <w:r>
              <w:rPr>
                <w:b w:val="false"/>
                <w:bCs w:val="false"/>
                <w:sz w:val="18"/>
                <w:szCs w:val="18"/>
              </w:rPr>
              <w:t xml:space="preserve">98.89%</w:t>
            </w:r>
          </w:p>
        </w:tc>
        <w:tc>
          <w:tcPr>
            <w:tcW w:type="dxa" w:w="1100"/>
            <w:tcMar>
              <w:top w:type="dxa" w:w="60"/>
              <w:left w:type="dxa" w:w="80"/>
              <w:bottom w:type="dxa" w:w="60"/>
              <w:right w:type="dxa" w:w="80"/>
            </w:tcMar>
          </w:tcPr>
          <w:p>
            <w:pPr>
              <w:jc w:val="center"/>
            </w:pPr>
            <w:r>
              <w:rPr>
                <w:b w:val="false"/>
                <w:bCs w:val="false"/>
                <w:sz w:val="18"/>
                <w:szCs w:val="18"/>
              </w:rPr>
              <w:t xml:space="preserve">99.86%</w:t>
            </w:r>
          </w:p>
        </w:tc>
        <w:tc>
          <w:tcPr>
            <w:tcW w:type="dxa" w:w="700"/>
            <w:tcMar>
              <w:top w:type="dxa" w:w="60"/>
              <w:left w:type="dxa" w:w="80"/>
              <w:bottom w:type="dxa" w:w="60"/>
              <w:right w:type="dxa" w:w="80"/>
            </w:tcMar>
          </w:tcPr>
          <w:p>
            <w:pPr>
              <w:jc w:val="center"/>
            </w:pPr>
            <w:r>
              <w:rPr>
                <w:b w:val="false"/>
                <w:bCs w:val="false"/>
                <w:sz w:val="18"/>
                <w:szCs w:val="18"/>
              </w:rPr>
              <w:t xml:space="preserve">1</w:t>
            </w:r>
          </w:p>
        </w:tc>
        <w:tc>
          <w:tcPr>
            <w:tcW w:type="dxa" w:w="1000"/>
            <w:tcMar>
              <w:top w:type="dxa" w:w="60"/>
              <w:left w:type="dxa" w:w="80"/>
              <w:bottom w:type="dxa" w:w="60"/>
              <w:right w:type="dxa" w:w="80"/>
            </w:tcMar>
          </w:tcPr>
          <w:p>
            <w:pPr>
              <w:jc w:val="center"/>
            </w:pPr>
            <w:r>
              <w:rPr>
                <w:b w:val="false"/>
                <w:bCs w:val="false"/>
                <w:sz w:val="18"/>
                <w:szCs w:val="18"/>
              </w:rPr>
              <w:t xml:space="preserve">699.00</w:t>
            </w:r>
          </w:p>
        </w:tc>
        <w:tc>
          <w:tcPr>
            <w:tcW w:type="dxa" w:w="800"/>
            <w:tcMar>
              <w:top w:type="dxa" w:w="60"/>
              <w:left w:type="dxa" w:w="80"/>
              <w:bottom w:type="dxa" w:w="60"/>
              <w:right w:type="dxa" w:w="80"/>
            </w:tcMar>
          </w:tcPr>
          <w:p>
            <w:pPr>
              <w:jc w:val="center"/>
            </w:pPr>
            <w:r>
              <w:rPr>
                <w:b w:val="false"/>
                <w:bCs w:val="false"/>
                <w:sz w:val="18"/>
                <w:szCs w:val="18"/>
              </w:rPr>
              <w:t xml:space="preserve">1</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CPW06</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46</w:t>
            </w:r>
          </w:p>
        </w:tc>
        <w:tc>
          <w:tcPr>
            <w:tcW w:type="dxa" w:w="1100"/>
            <w:tcMar>
              <w:top w:type="dxa" w:w="60"/>
              <w:left w:type="dxa" w:w="80"/>
              <w:bottom w:type="dxa" w:w="60"/>
              <w:right w:type="dxa" w:w="80"/>
            </w:tcMar>
          </w:tcPr>
          <w:p>
            <w:pPr>
              <w:jc w:val="center"/>
            </w:pPr>
            <w:r>
              <w:rPr>
                <w:b w:val="false"/>
                <w:bCs w:val="false"/>
                <w:sz w:val="18"/>
                <w:szCs w:val="18"/>
              </w:rPr>
              <w:t xml:space="preserve">99.03%</w:t>
            </w:r>
          </w:p>
        </w:tc>
        <w:tc>
          <w:tcPr>
            <w:tcW w:type="dxa" w:w="1100"/>
            <w:tcMar>
              <w:top w:type="dxa" w:w="60"/>
              <w:left w:type="dxa" w:w="80"/>
              <w:bottom w:type="dxa" w:w="60"/>
              <w:right w:type="dxa" w:w="80"/>
            </w:tcMar>
          </w:tcPr>
          <w:p>
            <w:pPr>
              <w:jc w:val="center"/>
            </w:pPr>
            <w:r>
              <w:rPr>
                <w:b w:val="false"/>
                <w:bCs w:val="false"/>
                <w:sz w:val="18"/>
                <w:szCs w:val="18"/>
              </w:rPr>
              <w:t xml:space="preserve">99.03%</w:t>
            </w:r>
          </w:p>
        </w:tc>
        <w:tc>
          <w:tcPr>
            <w:tcW w:type="dxa" w:w="700"/>
            <w:tcMar>
              <w:top w:type="dxa" w:w="60"/>
              <w:left w:type="dxa" w:w="80"/>
              <w:bottom w:type="dxa" w:w="60"/>
              <w:right w:type="dxa" w:w="80"/>
            </w:tcMar>
          </w:tcPr>
          <w:p>
            <w:pPr>
              <w:jc w:val="center"/>
            </w:pPr>
            <w:r>
              <w:rPr>
                <w:b w:val="false"/>
                <w:bCs w:val="false"/>
                <w:sz w:val="18"/>
                <w:szCs w:val="18"/>
              </w:rPr>
              <w:t xml:space="preserve">3</w:t>
            </w:r>
          </w:p>
        </w:tc>
        <w:tc>
          <w:tcPr>
            <w:tcW w:type="dxa" w:w="1000"/>
            <w:tcMar>
              <w:top w:type="dxa" w:w="60"/>
              <w:left w:type="dxa" w:w="80"/>
              <w:bottom w:type="dxa" w:w="60"/>
              <w:right w:type="dxa" w:w="80"/>
            </w:tcMar>
          </w:tcPr>
          <w:p>
            <w:pPr>
              <w:jc w:val="center"/>
            </w:pPr>
            <w:r>
              <w:rPr>
                <w:b w:val="false"/>
                <w:bCs w:val="false"/>
                <w:sz w:val="18"/>
                <w:szCs w:val="18"/>
              </w:rPr>
              <w:t xml:space="preserve">222.33</w:t>
            </w:r>
          </w:p>
        </w:tc>
        <w:tc>
          <w:tcPr>
            <w:tcW w:type="dxa" w:w="800"/>
            <w:tcMar>
              <w:top w:type="dxa" w:w="60"/>
              <w:left w:type="dxa" w:w="80"/>
              <w:bottom w:type="dxa" w:w="60"/>
              <w:right w:type="dxa" w:w="80"/>
            </w:tcMar>
          </w:tcPr>
          <w:p>
            <w:pPr>
              <w:jc w:val="center"/>
            </w:pPr>
            <w:r>
              <w:rPr>
                <w:b w:val="false"/>
                <w:bCs w:val="false"/>
                <w:sz w:val="18"/>
                <w:szCs w:val="18"/>
              </w:rPr>
              <w:t xml:space="preserve">2</w:t>
            </w:r>
          </w:p>
        </w:tc>
        <w:tc>
          <w:tcPr>
            <w:tcW w:type="dxa" w:w="1500"/>
            <w:shd w:fill="FFF2CC" w:val="clear"/>
            <w:tcMar>
              <w:top w:type="dxa" w:w="60"/>
              <w:left w:type="dxa" w:w="80"/>
              <w:bottom w:type="dxa" w:w="60"/>
              <w:right w:type="dxa" w:w="80"/>
            </w:tcMar>
          </w:tcPr>
          <w:p>
            <w:pPr>
              <w:jc w:val="center"/>
            </w:pPr>
            <w:r>
              <w:rPr>
                <w:b w:val="false"/>
                <w:bCs w:val="false"/>
                <w:sz w:val="18"/>
                <w:szCs w:val="18"/>
              </w:rPr>
              <w:t xml:space="preserve">RIESGO MEDIO</w:t>
            </w:r>
          </w:p>
        </w:tc>
      </w:tr>
      <w:tr>
        <w:tc>
          <w:tcPr>
            <w:tcW w:type="dxa" w:w="900"/>
            <w:tcMar>
              <w:top w:type="dxa" w:w="60"/>
              <w:left w:type="dxa" w:w="80"/>
              <w:bottom w:type="dxa" w:w="60"/>
              <w:right w:type="dxa" w:w="80"/>
            </w:tcMar>
          </w:tcPr>
          <w:p>
            <w:pPr>
              <w:jc w:val="left"/>
            </w:pPr>
            <w:r>
              <w:rPr>
                <w:b/>
                <w:bCs/>
                <w:sz w:val="18"/>
                <w:szCs w:val="18"/>
              </w:rPr>
              <w:t xml:space="preserve">CPW07</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110</w:t>
            </w:r>
          </w:p>
        </w:tc>
        <w:tc>
          <w:tcPr>
            <w:tcW w:type="dxa" w:w="1100"/>
            <w:tcMar>
              <w:top w:type="dxa" w:w="60"/>
              <w:left w:type="dxa" w:w="80"/>
              <w:bottom w:type="dxa" w:w="60"/>
              <w:right w:type="dxa" w:w="80"/>
            </w:tcMar>
          </w:tcPr>
          <w:p>
            <w:pPr>
              <w:jc w:val="center"/>
            </w:pPr>
            <w:r>
              <w:rPr>
                <w:b w:val="false"/>
                <w:bCs w:val="false"/>
                <w:sz w:val="18"/>
                <w:szCs w:val="18"/>
              </w:rPr>
              <w:t xml:space="preserve">99.31%</w:t>
            </w:r>
          </w:p>
        </w:tc>
        <w:tc>
          <w:tcPr>
            <w:tcW w:type="dxa" w:w="1100"/>
            <w:tcMar>
              <w:top w:type="dxa" w:w="60"/>
              <w:left w:type="dxa" w:w="80"/>
              <w:bottom w:type="dxa" w:w="60"/>
              <w:right w:type="dxa" w:w="80"/>
            </w:tcMar>
          </w:tcPr>
          <w:p>
            <w:pPr>
              <w:jc w:val="center"/>
            </w:pPr>
            <w:r>
              <w:rPr>
                <w:b w:val="false"/>
                <w:bCs w:val="false"/>
                <w:sz w:val="18"/>
                <w:szCs w:val="18"/>
              </w:rPr>
              <w:t xml:space="preserve">99.31%</w:t>
            </w:r>
          </w:p>
        </w:tc>
        <w:tc>
          <w:tcPr>
            <w:tcW w:type="dxa" w:w="700"/>
            <w:tcMar>
              <w:top w:type="dxa" w:w="60"/>
              <w:left w:type="dxa" w:w="80"/>
              <w:bottom w:type="dxa" w:w="60"/>
              <w:right w:type="dxa" w:w="80"/>
            </w:tcMar>
          </w:tcPr>
          <w:p>
            <w:pPr>
              <w:jc w:val="center"/>
            </w:pPr>
            <w:r>
              <w:rPr>
                <w:b w:val="false"/>
                <w:bCs w:val="false"/>
                <w:sz w:val="18"/>
                <w:szCs w:val="18"/>
              </w:rPr>
              <w:t xml:space="preserve">1</w:t>
            </w:r>
          </w:p>
        </w:tc>
        <w:tc>
          <w:tcPr>
            <w:tcW w:type="dxa" w:w="1000"/>
            <w:tcMar>
              <w:top w:type="dxa" w:w="60"/>
              <w:left w:type="dxa" w:w="80"/>
              <w:bottom w:type="dxa" w:w="60"/>
              <w:right w:type="dxa" w:w="80"/>
            </w:tcMar>
          </w:tcPr>
          <w:p>
            <w:pPr>
              <w:jc w:val="center"/>
            </w:pPr>
            <w:r>
              <w:rPr>
                <w:b w:val="false"/>
                <w:bCs w:val="false"/>
                <w:sz w:val="18"/>
                <w:szCs w:val="18"/>
              </w:rPr>
              <w:t xml:space="preserve">605.00</w:t>
            </w:r>
          </w:p>
        </w:tc>
        <w:tc>
          <w:tcPr>
            <w:tcW w:type="dxa" w:w="800"/>
            <w:tcMar>
              <w:top w:type="dxa" w:w="60"/>
              <w:left w:type="dxa" w:w="80"/>
              <w:bottom w:type="dxa" w:w="60"/>
              <w:right w:type="dxa" w:w="80"/>
            </w:tcMar>
          </w:tcPr>
          <w:p>
            <w:pPr>
              <w:jc w:val="center"/>
            </w:pPr>
            <w:r>
              <w:rPr>
                <w:b w:val="false"/>
                <w:bCs w:val="false"/>
                <w:sz w:val="18"/>
                <w:szCs w:val="18"/>
              </w:rPr>
              <w:t xml:space="preserve">5</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JIN-10</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245</w:t>
            </w:r>
          </w:p>
        </w:tc>
        <w:tc>
          <w:tcPr>
            <w:tcW w:type="dxa" w:w="1100"/>
            <w:tcMar>
              <w:top w:type="dxa" w:w="60"/>
              <w:left w:type="dxa" w:w="80"/>
              <w:bottom w:type="dxa" w:w="60"/>
              <w:right w:type="dxa" w:w="80"/>
            </w:tcMar>
          </w:tcPr>
          <w:p>
            <w:pPr>
              <w:jc w:val="center"/>
            </w:pPr>
            <w:r>
              <w:rPr>
                <w:b w:val="false"/>
                <w:bCs w:val="false"/>
                <w:sz w:val="18"/>
                <w:szCs w:val="18"/>
              </w:rPr>
              <w:t xml:space="preserve">99.44%</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700"/>
            <w:tcMar>
              <w:top w:type="dxa" w:w="60"/>
              <w:left w:type="dxa" w:w="80"/>
              <w:bottom w:type="dxa" w:w="60"/>
              <w:right w:type="dxa" w:w="80"/>
            </w:tcMar>
          </w:tcPr>
          <w:p>
            <w:pPr>
              <w:jc w:val="center"/>
            </w:pPr>
            <w:r>
              <w:rPr>
                <w:b w:val="false"/>
                <w:bCs w:val="false"/>
                <w:sz w:val="18"/>
                <w:szCs w:val="18"/>
              </w:rPr>
              <w:t xml:space="preserve">0</w:t>
            </w:r>
          </w:p>
        </w:tc>
        <w:tc>
          <w:tcPr>
            <w:tcW w:type="dxa" w:w="1000"/>
            <w:tcMar>
              <w:top w:type="dxa" w:w="60"/>
              <w:left w:type="dxa" w:w="80"/>
              <w:bottom w:type="dxa" w:w="60"/>
              <w:right w:type="dxa" w:w="80"/>
            </w:tcMar>
          </w:tcPr>
          <w:p>
            <w:pPr>
              <w:jc w:val="center"/>
            </w:pPr>
            <w:r>
              <w:rPr>
                <w:b w:val="false"/>
                <w:bCs w:val="false"/>
                <w:sz w:val="18"/>
                <w:szCs w:val="18"/>
              </w:rPr>
              <w:t xml:space="preserve">Sin Fallas</w:t>
            </w:r>
          </w:p>
        </w:tc>
        <w:tc>
          <w:tcPr>
            <w:tcW w:type="dxa" w:w="800"/>
            <w:tcMar>
              <w:top w:type="dxa" w:w="60"/>
              <w:left w:type="dxa" w:w="80"/>
              <w:bottom w:type="dxa" w:w="60"/>
              <w:right w:type="dxa" w:w="80"/>
            </w:tcMar>
          </w:tcPr>
          <w:p>
            <w:pPr>
              <w:jc w:val="center"/>
            </w:pPr>
            <w:r>
              <w:rPr>
                <w:b w:val="false"/>
                <w:bCs w:val="false"/>
                <w:sz w:val="18"/>
                <w:szCs w:val="18"/>
              </w:rPr>
              <w:t xml:space="preserve">0</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G101V</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696</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700"/>
            <w:tcMar>
              <w:top w:type="dxa" w:w="60"/>
              <w:left w:type="dxa" w:w="80"/>
              <w:bottom w:type="dxa" w:w="60"/>
              <w:right w:type="dxa" w:w="80"/>
            </w:tcMar>
          </w:tcPr>
          <w:p>
            <w:pPr>
              <w:jc w:val="center"/>
            </w:pPr>
            <w:r>
              <w:rPr>
                <w:b w:val="false"/>
                <w:bCs w:val="false"/>
                <w:sz w:val="18"/>
                <w:szCs w:val="18"/>
              </w:rPr>
              <w:t xml:space="preserve">0</w:t>
            </w:r>
          </w:p>
        </w:tc>
        <w:tc>
          <w:tcPr>
            <w:tcW w:type="dxa" w:w="1000"/>
            <w:tcMar>
              <w:top w:type="dxa" w:w="60"/>
              <w:left w:type="dxa" w:w="80"/>
              <w:bottom w:type="dxa" w:w="60"/>
              <w:right w:type="dxa" w:w="80"/>
            </w:tcMar>
          </w:tcPr>
          <w:p>
            <w:pPr>
              <w:jc w:val="center"/>
            </w:pPr>
            <w:r>
              <w:rPr>
                <w:b w:val="false"/>
                <w:bCs w:val="false"/>
                <w:sz w:val="18"/>
                <w:szCs w:val="18"/>
              </w:rPr>
              <w:t xml:space="preserve">Sin Fallas</w:t>
            </w:r>
          </w:p>
        </w:tc>
        <w:tc>
          <w:tcPr>
            <w:tcW w:type="dxa" w:w="800"/>
            <w:tcMar>
              <w:top w:type="dxa" w:w="60"/>
              <w:left w:type="dxa" w:w="80"/>
              <w:bottom w:type="dxa" w:w="60"/>
              <w:right w:type="dxa" w:w="80"/>
            </w:tcMar>
          </w:tcPr>
          <w:p>
            <w:pPr>
              <w:jc w:val="center"/>
            </w:pPr>
            <w:r>
              <w:rPr>
                <w:b w:val="false"/>
                <w:bCs w:val="false"/>
                <w:sz w:val="18"/>
                <w:szCs w:val="18"/>
              </w:rPr>
              <w:t xml:space="preserve">0</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G102J</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657</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700"/>
            <w:tcMar>
              <w:top w:type="dxa" w:w="60"/>
              <w:left w:type="dxa" w:w="80"/>
              <w:bottom w:type="dxa" w:w="60"/>
              <w:right w:type="dxa" w:w="80"/>
            </w:tcMar>
          </w:tcPr>
          <w:p>
            <w:pPr>
              <w:jc w:val="center"/>
            </w:pPr>
            <w:r>
              <w:rPr>
                <w:b w:val="false"/>
                <w:bCs w:val="false"/>
                <w:sz w:val="18"/>
                <w:szCs w:val="18"/>
              </w:rPr>
              <w:t xml:space="preserve">0</w:t>
            </w:r>
          </w:p>
        </w:tc>
        <w:tc>
          <w:tcPr>
            <w:tcW w:type="dxa" w:w="1000"/>
            <w:tcMar>
              <w:top w:type="dxa" w:w="60"/>
              <w:left w:type="dxa" w:w="80"/>
              <w:bottom w:type="dxa" w:w="60"/>
              <w:right w:type="dxa" w:w="80"/>
            </w:tcMar>
          </w:tcPr>
          <w:p>
            <w:pPr>
              <w:jc w:val="center"/>
            </w:pPr>
            <w:r>
              <w:rPr>
                <w:b w:val="false"/>
                <w:bCs w:val="false"/>
                <w:sz w:val="18"/>
                <w:szCs w:val="18"/>
              </w:rPr>
              <w:t xml:space="preserve">Sin Fallas</w:t>
            </w:r>
          </w:p>
        </w:tc>
        <w:tc>
          <w:tcPr>
            <w:tcW w:type="dxa" w:w="800"/>
            <w:tcMar>
              <w:top w:type="dxa" w:w="60"/>
              <w:left w:type="dxa" w:w="80"/>
              <w:bottom w:type="dxa" w:w="60"/>
              <w:right w:type="dxa" w:w="80"/>
            </w:tcMar>
          </w:tcPr>
          <w:p>
            <w:pPr>
              <w:jc w:val="center"/>
            </w:pPr>
            <w:r>
              <w:rPr>
                <w:b w:val="false"/>
                <w:bCs w:val="false"/>
                <w:sz w:val="18"/>
                <w:szCs w:val="18"/>
              </w:rPr>
              <w:t xml:space="preserve">0</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G102K</w:t>
            </w:r>
          </w:p>
        </w:tc>
        <w:tc>
          <w:tcPr>
            <w:tcW w:type="dxa" w:w="1300"/>
            <w:tcMar>
              <w:top w:type="dxa" w:w="60"/>
              <w:left w:type="dxa" w:w="80"/>
              <w:bottom w:type="dxa" w:w="60"/>
              <w:right w:type="dxa" w:w="80"/>
            </w:tcMar>
          </w:tcPr>
          <w:p>
            <w:pPr>
              <w:jc w:val="left"/>
            </w:pPr>
            <w:r>
              <w:rPr>
                <w:b w:val="false"/>
                <w:bCs w:val="false"/>
                <w:sz w:val="18"/>
                <w:szCs w:val="18"/>
              </w:rPr>
              <w:t xml:space="preserve">COSTAYACO</w:t>
            </w:r>
          </w:p>
        </w:tc>
        <w:tc>
          <w:tcPr>
            <w:tcW w:type="dxa" w:w="900"/>
            <w:tcMar>
              <w:top w:type="dxa" w:w="60"/>
              <w:left w:type="dxa" w:w="80"/>
              <w:bottom w:type="dxa" w:w="60"/>
              <w:right w:type="dxa" w:w="80"/>
            </w:tcMar>
          </w:tcPr>
          <w:p>
            <w:pPr>
              <w:jc w:val="center"/>
            </w:pPr>
            <w:r>
              <w:rPr>
                <w:b w:val="false"/>
                <w:bCs w:val="false"/>
                <w:sz w:val="18"/>
                <w:szCs w:val="18"/>
              </w:rPr>
              <w:t xml:space="preserve">644</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700"/>
            <w:tcMar>
              <w:top w:type="dxa" w:w="60"/>
              <w:left w:type="dxa" w:w="80"/>
              <w:bottom w:type="dxa" w:w="60"/>
              <w:right w:type="dxa" w:w="80"/>
            </w:tcMar>
          </w:tcPr>
          <w:p>
            <w:pPr>
              <w:jc w:val="center"/>
            </w:pPr>
            <w:r>
              <w:rPr>
                <w:b w:val="false"/>
                <w:bCs w:val="false"/>
                <w:sz w:val="18"/>
                <w:szCs w:val="18"/>
              </w:rPr>
              <w:t xml:space="preserve">0</w:t>
            </w:r>
          </w:p>
        </w:tc>
        <w:tc>
          <w:tcPr>
            <w:tcW w:type="dxa" w:w="1000"/>
            <w:tcMar>
              <w:top w:type="dxa" w:w="60"/>
              <w:left w:type="dxa" w:w="80"/>
              <w:bottom w:type="dxa" w:w="60"/>
              <w:right w:type="dxa" w:w="80"/>
            </w:tcMar>
          </w:tcPr>
          <w:p>
            <w:pPr>
              <w:jc w:val="center"/>
            </w:pPr>
            <w:r>
              <w:rPr>
                <w:b w:val="false"/>
                <w:bCs w:val="false"/>
                <w:sz w:val="18"/>
                <w:szCs w:val="18"/>
              </w:rPr>
              <w:t xml:space="preserve">Sin Fallas</w:t>
            </w:r>
          </w:p>
        </w:tc>
        <w:tc>
          <w:tcPr>
            <w:tcW w:type="dxa" w:w="800"/>
            <w:tcMar>
              <w:top w:type="dxa" w:w="60"/>
              <w:left w:type="dxa" w:w="80"/>
              <w:bottom w:type="dxa" w:w="60"/>
              <w:right w:type="dxa" w:w="80"/>
            </w:tcMar>
          </w:tcPr>
          <w:p>
            <w:pPr>
              <w:jc w:val="center"/>
            </w:pPr>
            <w:r>
              <w:rPr>
                <w:b w:val="false"/>
                <w:bCs w:val="false"/>
                <w:sz w:val="18"/>
                <w:szCs w:val="18"/>
              </w:rPr>
              <w:t xml:space="preserve">0</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JIN-01</w:t>
            </w:r>
          </w:p>
        </w:tc>
        <w:tc>
          <w:tcPr>
            <w:tcW w:type="dxa" w:w="1300"/>
            <w:tcMar>
              <w:top w:type="dxa" w:w="60"/>
              <w:left w:type="dxa" w:w="80"/>
              <w:bottom w:type="dxa" w:w="60"/>
              <w:right w:type="dxa" w:w="80"/>
            </w:tcMar>
          </w:tcPr>
          <w:p>
            <w:pPr>
              <w:jc w:val="left"/>
            </w:pPr>
            <w:r>
              <w:rPr>
                <w:b w:val="false"/>
                <w:bCs w:val="false"/>
                <w:sz w:val="18"/>
                <w:szCs w:val="18"/>
              </w:rPr>
              <w:t xml:space="preserve">VONU</w:t>
            </w:r>
          </w:p>
        </w:tc>
        <w:tc>
          <w:tcPr>
            <w:tcW w:type="dxa" w:w="900"/>
            <w:tcMar>
              <w:top w:type="dxa" w:w="60"/>
              <w:left w:type="dxa" w:w="80"/>
              <w:bottom w:type="dxa" w:w="60"/>
              <w:right w:type="dxa" w:w="80"/>
            </w:tcMar>
          </w:tcPr>
          <w:p>
            <w:pPr>
              <w:jc w:val="center"/>
            </w:pPr>
            <w:r>
              <w:rPr>
                <w:b w:val="false"/>
                <w:bCs w:val="false"/>
                <w:sz w:val="18"/>
                <w:szCs w:val="18"/>
              </w:rPr>
              <w:t xml:space="preserve">13</w:t>
            </w:r>
          </w:p>
        </w:tc>
        <w:tc>
          <w:tcPr>
            <w:tcW w:type="dxa" w:w="1100"/>
            <w:tcMar>
              <w:top w:type="dxa" w:w="60"/>
              <w:left w:type="dxa" w:w="80"/>
              <w:bottom w:type="dxa" w:w="60"/>
              <w:right w:type="dxa" w:w="80"/>
            </w:tcMar>
          </w:tcPr>
          <w:p>
            <w:pPr>
              <w:jc w:val="center"/>
            </w:pPr>
            <w:r>
              <w:rPr>
                <w:b w:val="false"/>
                <w:bCs w:val="false"/>
                <w:sz w:val="18"/>
                <w:szCs w:val="18"/>
              </w:rPr>
              <w:t xml:space="preserve">99.17%</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700"/>
            <w:tcMar>
              <w:top w:type="dxa" w:w="60"/>
              <w:left w:type="dxa" w:w="80"/>
              <w:bottom w:type="dxa" w:w="60"/>
              <w:right w:type="dxa" w:w="80"/>
            </w:tcMar>
          </w:tcPr>
          <w:p>
            <w:pPr>
              <w:jc w:val="center"/>
            </w:pPr>
            <w:r>
              <w:rPr>
                <w:b w:val="false"/>
                <w:bCs w:val="false"/>
                <w:sz w:val="18"/>
                <w:szCs w:val="18"/>
              </w:rPr>
              <w:t xml:space="preserve">0</w:t>
            </w:r>
          </w:p>
        </w:tc>
        <w:tc>
          <w:tcPr>
            <w:tcW w:type="dxa" w:w="1000"/>
            <w:tcMar>
              <w:top w:type="dxa" w:w="60"/>
              <w:left w:type="dxa" w:w="80"/>
              <w:bottom w:type="dxa" w:w="60"/>
              <w:right w:type="dxa" w:w="80"/>
            </w:tcMar>
          </w:tcPr>
          <w:p>
            <w:pPr>
              <w:jc w:val="center"/>
            </w:pPr>
            <w:r>
              <w:rPr>
                <w:b w:val="false"/>
                <w:bCs w:val="false"/>
                <w:sz w:val="18"/>
                <w:szCs w:val="18"/>
              </w:rPr>
              <w:t xml:space="preserve">Sin Fallas</w:t>
            </w:r>
          </w:p>
        </w:tc>
        <w:tc>
          <w:tcPr>
            <w:tcW w:type="dxa" w:w="800"/>
            <w:tcMar>
              <w:top w:type="dxa" w:w="60"/>
              <w:left w:type="dxa" w:w="80"/>
              <w:bottom w:type="dxa" w:w="60"/>
              <w:right w:type="dxa" w:w="80"/>
            </w:tcMar>
          </w:tcPr>
          <w:p>
            <w:pPr>
              <w:jc w:val="center"/>
            </w:pPr>
            <w:r>
              <w:rPr>
                <w:b w:val="false"/>
                <w:bCs w:val="false"/>
                <w:sz w:val="18"/>
                <w:szCs w:val="18"/>
              </w:rPr>
              <w:t xml:space="preserve">0</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tcMar>
              <w:top w:type="dxa" w:w="60"/>
              <w:left w:type="dxa" w:w="80"/>
              <w:bottom w:type="dxa" w:w="60"/>
              <w:right w:type="dxa" w:w="80"/>
            </w:tcMar>
          </w:tcPr>
          <w:p>
            <w:pPr>
              <w:jc w:val="left"/>
            </w:pPr>
            <w:r>
              <w:rPr>
                <w:b/>
                <w:bCs/>
                <w:sz w:val="18"/>
                <w:szCs w:val="18"/>
              </w:rPr>
              <w:t xml:space="preserve">JIN-02</w:t>
            </w:r>
          </w:p>
        </w:tc>
        <w:tc>
          <w:tcPr>
            <w:tcW w:type="dxa" w:w="1300"/>
            <w:tcMar>
              <w:top w:type="dxa" w:w="60"/>
              <w:left w:type="dxa" w:w="80"/>
              <w:bottom w:type="dxa" w:w="60"/>
              <w:right w:type="dxa" w:w="80"/>
            </w:tcMar>
          </w:tcPr>
          <w:p>
            <w:pPr>
              <w:jc w:val="left"/>
            </w:pPr>
            <w:r>
              <w:rPr>
                <w:b w:val="false"/>
                <w:bCs w:val="false"/>
                <w:sz w:val="18"/>
                <w:szCs w:val="18"/>
              </w:rPr>
              <w:t xml:space="preserve">VONU</w:t>
            </w:r>
          </w:p>
        </w:tc>
        <w:tc>
          <w:tcPr>
            <w:tcW w:type="dxa" w:w="900"/>
            <w:tcMar>
              <w:top w:type="dxa" w:w="60"/>
              <w:left w:type="dxa" w:w="80"/>
              <w:bottom w:type="dxa" w:w="60"/>
              <w:right w:type="dxa" w:w="80"/>
            </w:tcMar>
          </w:tcPr>
          <w:p>
            <w:pPr>
              <w:jc w:val="center"/>
            </w:pPr>
            <w:r>
              <w:rPr>
                <w:b w:val="false"/>
                <w:bCs w:val="false"/>
                <w:sz w:val="18"/>
                <w:szCs w:val="18"/>
              </w:rPr>
              <w:t xml:space="preserve">16</w:t>
            </w:r>
          </w:p>
        </w:tc>
        <w:tc>
          <w:tcPr>
            <w:tcW w:type="dxa" w:w="1100"/>
            <w:tcMar>
              <w:top w:type="dxa" w:w="60"/>
              <w:left w:type="dxa" w:w="80"/>
              <w:bottom w:type="dxa" w:w="60"/>
              <w:right w:type="dxa" w:w="80"/>
            </w:tcMar>
          </w:tcPr>
          <w:p>
            <w:pPr>
              <w:jc w:val="center"/>
            </w:pPr>
            <w:r>
              <w:rPr>
                <w:b w:val="false"/>
                <w:bCs w:val="false"/>
                <w:sz w:val="18"/>
                <w:szCs w:val="18"/>
              </w:rPr>
              <w:t xml:space="preserve">99.03%</w:t>
            </w:r>
          </w:p>
        </w:tc>
        <w:tc>
          <w:tcPr>
            <w:tcW w:type="dxa" w:w="1100"/>
            <w:tcMar>
              <w:top w:type="dxa" w:w="60"/>
              <w:left w:type="dxa" w:w="80"/>
              <w:bottom w:type="dxa" w:w="60"/>
              <w:right w:type="dxa" w:w="80"/>
            </w:tcMar>
          </w:tcPr>
          <w:p>
            <w:pPr>
              <w:jc w:val="center"/>
            </w:pPr>
            <w:r>
              <w:rPr>
                <w:b w:val="false"/>
                <w:bCs w:val="false"/>
                <w:sz w:val="18"/>
                <w:szCs w:val="18"/>
              </w:rPr>
              <w:t xml:space="preserve">100.00%</w:t>
            </w:r>
          </w:p>
        </w:tc>
        <w:tc>
          <w:tcPr>
            <w:tcW w:type="dxa" w:w="700"/>
            <w:tcMar>
              <w:top w:type="dxa" w:w="60"/>
              <w:left w:type="dxa" w:w="80"/>
              <w:bottom w:type="dxa" w:w="60"/>
              <w:right w:type="dxa" w:w="80"/>
            </w:tcMar>
          </w:tcPr>
          <w:p>
            <w:pPr>
              <w:jc w:val="center"/>
            </w:pPr>
            <w:r>
              <w:rPr>
                <w:b w:val="false"/>
                <w:bCs w:val="false"/>
                <w:sz w:val="18"/>
                <w:szCs w:val="18"/>
              </w:rPr>
              <w:t xml:space="preserve">0</w:t>
            </w:r>
          </w:p>
        </w:tc>
        <w:tc>
          <w:tcPr>
            <w:tcW w:type="dxa" w:w="1000"/>
            <w:tcMar>
              <w:top w:type="dxa" w:w="60"/>
              <w:left w:type="dxa" w:w="80"/>
              <w:bottom w:type="dxa" w:w="60"/>
              <w:right w:type="dxa" w:w="80"/>
            </w:tcMar>
          </w:tcPr>
          <w:p>
            <w:pPr>
              <w:jc w:val="center"/>
            </w:pPr>
            <w:r>
              <w:rPr>
                <w:b w:val="false"/>
                <w:bCs w:val="false"/>
                <w:sz w:val="18"/>
                <w:szCs w:val="18"/>
              </w:rPr>
              <w:t xml:space="preserve">Sin Fallas</w:t>
            </w:r>
          </w:p>
        </w:tc>
        <w:tc>
          <w:tcPr>
            <w:tcW w:type="dxa" w:w="800"/>
            <w:tcMar>
              <w:top w:type="dxa" w:w="60"/>
              <w:left w:type="dxa" w:w="80"/>
              <w:bottom w:type="dxa" w:w="60"/>
              <w:right w:type="dxa" w:w="80"/>
            </w:tcMar>
          </w:tcPr>
          <w:p>
            <w:pPr>
              <w:jc w:val="center"/>
            </w:pPr>
            <w:r>
              <w:rPr>
                <w:b w:val="false"/>
                <w:bCs w:val="false"/>
                <w:sz w:val="18"/>
                <w:szCs w:val="18"/>
              </w:rPr>
              <w:t xml:space="preserve">0</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r>
        <w:tc>
          <w:tcPr>
            <w:tcW w:type="dxa" w:w="900"/>
            <w:shd w:fill="D9E2F3" w:val="clear"/>
            <w:tcMar>
              <w:top w:type="dxa" w:w="60"/>
              <w:left w:type="dxa" w:w="80"/>
              <w:bottom w:type="dxa" w:w="60"/>
              <w:right w:type="dxa" w:w="80"/>
            </w:tcMar>
          </w:tcPr>
          <w:p>
            <w:pPr>
              <w:jc w:val="left"/>
            </w:pPr>
            <w:r>
              <w:rPr>
                <w:b/>
                <w:bCs/>
                <w:sz w:val="18"/>
                <w:szCs w:val="18"/>
              </w:rPr>
              <w:t xml:space="preserve">SISTEMA N COSTAYACO</w:t>
            </w:r>
          </w:p>
        </w:tc>
        <w:tc>
          <w:tcPr>
            <w:tcW w:type="dxa" w:w="1300"/>
            <w:shd w:fill="D9E2F3" w:val="clear"/>
            <w:tcMar>
              <w:top w:type="dxa" w:w="60"/>
              <w:left w:type="dxa" w:w="80"/>
              <w:bottom w:type="dxa" w:w="60"/>
              <w:right w:type="dxa" w:w="80"/>
            </w:tcMar>
          </w:tcPr>
          <w:p>
            <w:pPr>
              <w:jc w:val="left"/>
            </w:pPr>
            <w:r>
              <w:rPr>
                <w:b w:val="false"/>
                <w:bCs w:val="false"/>
                <w:sz w:val="18"/>
                <w:szCs w:val="18"/>
              </w:rPr>
              <w:t xml:space="preserve">-</w:t>
            </w:r>
          </w:p>
        </w:tc>
        <w:tc>
          <w:tcPr>
            <w:tcW w:type="dxa" w:w="900"/>
            <w:shd w:fill="D9E2F3" w:val="clear"/>
            <w:tcMar>
              <w:top w:type="dxa" w:w="60"/>
              <w:left w:type="dxa" w:w="80"/>
              <w:bottom w:type="dxa" w:w="60"/>
              <w:right w:type="dxa" w:w="80"/>
            </w:tcMar>
          </w:tcPr>
          <w:p>
            <w:pPr>
              <w:jc w:val="center"/>
            </w:pPr>
            <w:r>
              <w:rPr>
                <w:b w:val="false"/>
                <w:bCs w:val="false"/>
                <w:sz w:val="18"/>
                <w:szCs w:val="18"/>
              </w:rPr>
              <w:t xml:space="preserve">744</w:t>
            </w:r>
          </w:p>
        </w:tc>
        <w:tc>
          <w:tcPr>
            <w:tcW w:type="dxa" w:w="1100"/>
            <w:shd w:fill="D9E2F3" w:val="clear"/>
            <w:tcMar>
              <w:top w:type="dxa" w:w="60"/>
              <w:left w:type="dxa" w:w="80"/>
              <w:bottom w:type="dxa" w:w="60"/>
              <w:right w:type="dxa" w:w="80"/>
            </w:tcMar>
          </w:tcPr>
          <w:p>
            <w:pPr>
              <w:jc w:val="center"/>
            </w:pPr>
            <w:r>
              <w:rPr>
                <w:b/>
                <w:bCs/>
                <w:sz w:val="18"/>
                <w:szCs w:val="18"/>
              </w:rPr>
              <w:t xml:space="preserve">97.92%</w:t>
            </w:r>
          </w:p>
        </w:tc>
        <w:tc>
          <w:tcPr>
            <w:tcW w:type="dxa" w:w="1100"/>
            <w:shd w:fill="D9E2F3" w:val="clear"/>
            <w:tcMar>
              <w:top w:type="dxa" w:w="60"/>
              <w:left w:type="dxa" w:w="80"/>
              <w:bottom w:type="dxa" w:w="60"/>
              <w:right w:type="dxa" w:w="80"/>
            </w:tcMar>
          </w:tcPr>
          <w:p>
            <w:pPr>
              <w:jc w:val="center"/>
            </w:pPr>
            <w:r>
              <w:rPr>
                <w:b/>
                <w:bCs/>
                <w:sz w:val="18"/>
                <w:szCs w:val="18"/>
              </w:rPr>
              <w:t xml:space="preserve">97.92%</w:t>
            </w:r>
          </w:p>
        </w:tc>
        <w:tc>
          <w:tcPr>
            <w:tcW w:type="dxa" w:w="700"/>
            <w:shd w:fill="D9E2F3" w:val="clear"/>
            <w:tcMar>
              <w:top w:type="dxa" w:w="60"/>
              <w:left w:type="dxa" w:w="80"/>
              <w:bottom w:type="dxa" w:w="60"/>
              <w:right w:type="dxa" w:w="80"/>
            </w:tcMar>
          </w:tcPr>
          <w:p>
            <w:pPr>
              <w:jc w:val="center"/>
            </w:pPr>
            <w:r>
              <w:rPr>
                <w:b w:val="false"/>
                <w:bCs w:val="false"/>
                <w:sz w:val="18"/>
                <w:szCs w:val="18"/>
              </w:rPr>
              <w:t xml:space="preserve">7</w:t>
            </w:r>
          </w:p>
        </w:tc>
        <w:tc>
          <w:tcPr>
            <w:tcW w:type="dxa" w:w="1000"/>
            <w:shd w:fill="D9E2F3" w:val="clear"/>
            <w:tcMar>
              <w:top w:type="dxa" w:w="60"/>
              <w:left w:type="dxa" w:w="80"/>
              <w:bottom w:type="dxa" w:w="60"/>
              <w:right w:type="dxa" w:w="80"/>
            </w:tcMar>
          </w:tcPr>
          <w:p>
            <w:pPr>
              <w:jc w:val="center"/>
            </w:pPr>
            <w:r>
              <w:rPr>
                <w:b w:val="false"/>
                <w:bCs w:val="false"/>
                <w:sz w:val="18"/>
                <w:szCs w:val="18"/>
              </w:rPr>
              <w:t xml:space="preserve">711.57</w:t>
            </w:r>
          </w:p>
        </w:tc>
        <w:tc>
          <w:tcPr>
            <w:tcW w:type="dxa" w:w="800"/>
            <w:shd w:fill="D9E2F3" w:val="clear"/>
            <w:tcMar>
              <w:top w:type="dxa" w:w="60"/>
              <w:left w:type="dxa" w:w="80"/>
              <w:bottom w:type="dxa" w:w="60"/>
              <w:right w:type="dxa" w:w="80"/>
            </w:tcMar>
          </w:tcPr>
          <w:p>
            <w:pPr>
              <w:jc w:val="center"/>
            </w:pPr>
            <w:r>
              <w:rPr>
                <w:b w:val="false"/>
                <w:bCs w:val="false"/>
                <w:sz w:val="18"/>
                <w:szCs w:val="18"/>
              </w:rPr>
              <w:t xml:space="preserve">2.86</w:t>
            </w:r>
          </w:p>
        </w:tc>
        <w:tc>
          <w:tcPr>
            <w:tcW w:type="dxa" w:w="1500"/>
            <w:shd w:fill="FFF2CC" w:val="clear"/>
            <w:tcMar>
              <w:top w:type="dxa" w:w="60"/>
              <w:left w:type="dxa" w:w="80"/>
              <w:bottom w:type="dxa" w:w="60"/>
              <w:right w:type="dxa" w:w="80"/>
            </w:tcMar>
          </w:tcPr>
          <w:p>
            <w:pPr>
              <w:jc w:val="center"/>
            </w:pPr>
            <w:r>
              <w:rPr>
                <w:b w:val="false"/>
                <w:bCs w:val="false"/>
                <w:sz w:val="18"/>
                <w:szCs w:val="18"/>
              </w:rPr>
              <w:t xml:space="preserve">RIESGO MEDIO</w:t>
            </w:r>
          </w:p>
        </w:tc>
      </w:tr>
      <w:tr>
        <w:tc>
          <w:tcPr>
            <w:tcW w:type="dxa" w:w="900"/>
            <w:shd w:fill="D9E2F3" w:val="clear"/>
            <w:tcMar>
              <w:top w:type="dxa" w:w="60"/>
              <w:left w:type="dxa" w:w="80"/>
              <w:bottom w:type="dxa" w:w="60"/>
              <w:right w:type="dxa" w:w="80"/>
            </w:tcMar>
          </w:tcPr>
          <w:p>
            <w:pPr>
              <w:jc w:val="left"/>
            </w:pPr>
            <w:r>
              <w:rPr>
                <w:b/>
                <w:bCs/>
                <w:sz w:val="18"/>
                <w:szCs w:val="18"/>
              </w:rPr>
              <w:t xml:space="preserve">SISTEMA N VONU</w:t>
            </w:r>
          </w:p>
        </w:tc>
        <w:tc>
          <w:tcPr>
            <w:tcW w:type="dxa" w:w="1300"/>
            <w:shd w:fill="D9E2F3" w:val="clear"/>
            <w:tcMar>
              <w:top w:type="dxa" w:w="60"/>
              <w:left w:type="dxa" w:w="80"/>
              <w:bottom w:type="dxa" w:w="60"/>
              <w:right w:type="dxa" w:w="80"/>
            </w:tcMar>
          </w:tcPr>
          <w:p>
            <w:pPr>
              <w:jc w:val="left"/>
            </w:pPr>
            <w:r>
              <w:rPr>
                <w:b w:val="false"/>
                <w:bCs w:val="false"/>
                <w:sz w:val="18"/>
                <w:szCs w:val="18"/>
              </w:rPr>
              <w:t xml:space="preserve">-</w:t>
            </w:r>
          </w:p>
        </w:tc>
        <w:tc>
          <w:tcPr>
            <w:tcW w:type="dxa" w:w="900"/>
            <w:shd w:fill="D9E2F3" w:val="clear"/>
            <w:tcMar>
              <w:top w:type="dxa" w:w="60"/>
              <w:left w:type="dxa" w:w="80"/>
              <w:bottom w:type="dxa" w:w="60"/>
              <w:right w:type="dxa" w:w="80"/>
            </w:tcMar>
          </w:tcPr>
          <w:p>
            <w:pPr>
              <w:jc w:val="center"/>
            </w:pPr>
            <w:r>
              <w:rPr>
                <w:b w:val="false"/>
                <w:bCs w:val="false"/>
                <w:sz w:val="18"/>
                <w:szCs w:val="18"/>
              </w:rPr>
              <w:t xml:space="preserve">29</w:t>
            </w:r>
          </w:p>
        </w:tc>
        <w:tc>
          <w:tcPr>
            <w:tcW w:type="dxa" w:w="1100"/>
            <w:shd w:fill="D9E2F3" w:val="clear"/>
            <w:tcMar>
              <w:top w:type="dxa" w:w="60"/>
              <w:left w:type="dxa" w:w="80"/>
              <w:bottom w:type="dxa" w:w="60"/>
              <w:right w:type="dxa" w:w="80"/>
            </w:tcMar>
          </w:tcPr>
          <w:p>
            <w:pPr>
              <w:jc w:val="center"/>
            </w:pPr>
            <w:r>
              <w:rPr>
                <w:b/>
                <w:bCs/>
                <w:sz w:val="18"/>
                <w:szCs w:val="18"/>
              </w:rPr>
              <w:t xml:space="preserve">100.00%</w:t>
            </w:r>
          </w:p>
        </w:tc>
        <w:tc>
          <w:tcPr>
            <w:tcW w:type="dxa" w:w="1100"/>
            <w:shd w:fill="D9E2F3" w:val="clear"/>
            <w:tcMar>
              <w:top w:type="dxa" w:w="60"/>
              <w:left w:type="dxa" w:w="80"/>
              <w:bottom w:type="dxa" w:w="60"/>
              <w:right w:type="dxa" w:w="80"/>
            </w:tcMar>
          </w:tcPr>
          <w:p>
            <w:pPr>
              <w:jc w:val="center"/>
            </w:pPr>
            <w:r>
              <w:rPr>
                <w:b/>
                <w:bCs/>
                <w:sz w:val="18"/>
                <w:szCs w:val="18"/>
              </w:rPr>
              <w:t xml:space="preserve">100.00%</w:t>
            </w:r>
          </w:p>
        </w:tc>
        <w:tc>
          <w:tcPr>
            <w:tcW w:type="dxa" w:w="700"/>
            <w:shd w:fill="D9E2F3" w:val="clear"/>
            <w:tcMar>
              <w:top w:type="dxa" w:w="60"/>
              <w:left w:type="dxa" w:w="80"/>
              <w:bottom w:type="dxa" w:w="60"/>
              <w:right w:type="dxa" w:w="80"/>
            </w:tcMar>
          </w:tcPr>
          <w:p>
            <w:pPr>
              <w:jc w:val="center"/>
            </w:pPr>
            <w:r>
              <w:rPr>
                <w:b w:val="false"/>
                <w:bCs w:val="false"/>
                <w:sz w:val="18"/>
                <w:szCs w:val="18"/>
              </w:rPr>
              <w:t xml:space="preserve">0</w:t>
            </w:r>
          </w:p>
        </w:tc>
        <w:tc>
          <w:tcPr>
            <w:tcW w:type="dxa" w:w="1000"/>
            <w:shd w:fill="D9E2F3" w:val="clear"/>
            <w:tcMar>
              <w:top w:type="dxa" w:w="60"/>
              <w:left w:type="dxa" w:w="80"/>
              <w:bottom w:type="dxa" w:w="60"/>
              <w:right w:type="dxa" w:w="80"/>
            </w:tcMar>
          </w:tcPr>
          <w:p>
            <w:pPr>
              <w:jc w:val="center"/>
            </w:pPr>
            <w:r>
              <w:rPr>
                <w:b w:val="false"/>
                <w:bCs w:val="false"/>
                <w:sz w:val="18"/>
                <w:szCs w:val="18"/>
              </w:rPr>
              <w:t xml:space="preserve">Sin Fallas</w:t>
            </w:r>
          </w:p>
        </w:tc>
        <w:tc>
          <w:tcPr>
            <w:tcW w:type="dxa" w:w="800"/>
            <w:shd w:fill="D9E2F3" w:val="clear"/>
            <w:tcMar>
              <w:top w:type="dxa" w:w="60"/>
              <w:left w:type="dxa" w:w="80"/>
              <w:bottom w:type="dxa" w:w="60"/>
              <w:right w:type="dxa" w:w="80"/>
            </w:tcMar>
          </w:tcPr>
          <w:p>
            <w:pPr>
              <w:jc w:val="center"/>
            </w:pPr>
            <w:r>
              <w:rPr>
                <w:b w:val="false"/>
                <w:bCs w:val="false"/>
                <w:sz w:val="18"/>
                <w:szCs w:val="18"/>
              </w:rPr>
              <w:t xml:space="preserve">0</w:t>
            </w:r>
          </w:p>
        </w:tc>
        <w:tc>
          <w:tcPr>
            <w:tcW w:type="dxa" w:w="1500"/>
            <w:shd w:fill="E2EFDA" w:val="clear"/>
            <w:tcMar>
              <w:top w:type="dxa" w:w="60"/>
              <w:left w:type="dxa" w:w="80"/>
              <w:bottom w:type="dxa" w:w="60"/>
              <w:right w:type="dxa" w:w="80"/>
            </w:tcMar>
          </w:tcPr>
          <w:p>
            <w:pPr>
              <w:jc w:val="center"/>
            </w:pPr>
            <w:r>
              <w:rPr>
                <w:b w:val="false"/>
                <w:bCs w:val="false"/>
                <w:sz w:val="18"/>
                <w:szCs w:val="18"/>
              </w:rPr>
              <w:t xml:space="preserve">RIESGO BAJO</w:t>
            </w:r>
          </w:p>
        </w:tc>
      </w:tr>
    </w:tbl>
    <w:p>
      <w:pPr>
        <w:spacing w:after="120"/>
      </w:pPr>
      <w:r>
        <w:t xml:space="preserve"> </w:t>
      </w:r>
    </w:p>
    <w:p>
      <w:pPr>
        <w:spacing w:after="120"/>
      </w:pPr>
      <w:r>
        <w:rPr>
          <w:i/>
          <w:iCs/>
          <w:color w:val="595959"/>
          <w:sz w:val="18"/>
          <w:szCs w:val="18"/>
        </w:rPr>
        <w:t xml:space="preserve">Nota metodológica: JIN-11 y JIN-12 se evalúan individualmente sobre 19 días y no se incorporan al cálculo sistémico de Costayaco para junio, conforme a la premisa de estabilización del reporte original.</w:t>
      </w:r>
    </w:p>
    <w:p>
      <w:pPr>
        <w:pStyle w:val="Heading1"/>
        <w:spacing w:after="140" w:before="280"/>
      </w:pPr>
      <w:r>
        <w:t xml:space="preserve">3. Análisis de frecuencia y comportamiento (MTBF / MTTR)</w:t>
      </w:r>
    </w:p>
    <w:p>
      <w:pPr>
        <w:pStyle w:val="Heading2"/>
        <w:spacing w:after="140" w:before="280"/>
      </w:pPr>
      <w:r>
        <w:t xml:space="preserve">3.1 Sistema Costayaco</w:t>
      </w:r>
    </w:p>
    <w:p>
      <w:pPr>
        <w:spacing w:after="120"/>
      </w:pPr>
      <w:r>
        <w:t xml:space="preserve">Siete eventos en junio (igual a mayo), pero con MTBF poblacional de 711.57 h (vs. 500.39 h en mayo) y MTTR sistémico de 2.86 h (vs. 5.32 h). La lectura correcta no es 'menos fallas', sino menor severidad promedio y redistribución del riesgo entre activos.</w:t>
      </w:r>
    </w:p>
    <w:p>
      <w:pPr>
        <w:pStyle w:val="ListParagraph"/>
        <w:numPr>
          <w:ilvl w:val="0"/>
          <w:numId w:val="1"/>
        </w:numPr>
        <w:spacing w:after="80"/>
      </w:pPr>
      <w:r>
        <w:t xml:space="preserve">CPW06 — activo dominante: 3 eventos, MTBF 222.33 h, MTTR 2 h. Riesgo Técnico MEDIO. La repetición de salidas (03-jun, 27-jun, 28-jun) reduce el intervalo operativo entre eventos aunque cada intervención se resuelve rápido.</w:t>
      </w:r>
    </w:p>
    <w:p>
      <w:pPr>
        <w:pStyle w:val="ListParagraph"/>
        <w:numPr>
          <w:ilvl w:val="0"/>
          <w:numId w:val="1"/>
        </w:numPr>
        <w:spacing w:after="80"/>
      </w:pPr>
      <w:r>
        <w:t xml:space="preserve">CPW01, CPW03, CPW05, CPW07 — un evento cada una. CPW03 y CPW07 muestran los mayores MTTR (5 h); CPW05 restituye en 1 h.</w:t>
      </w:r>
    </w:p>
    <w:p>
      <w:pPr>
        <w:pStyle w:val="ListParagraph"/>
        <w:numPr>
          <w:ilvl w:val="0"/>
          <w:numId w:val="1"/>
        </w:numPr>
        <w:spacing w:after="80"/>
      </w:pPr>
      <w:r>
        <w:t xml:space="preserve">CPW04 — recuperación relevante: pasa de 4 eventos y MTTR 7.5 h en mayo a 0 eventos y 100%/100% en junio. Aun así, la bitácora del 23-jun registra una apertura del totalizador de auxiliares 480V en CPW04 que no se refleja como 'falla' en el dashboard, lo que amerita validar el criterio de clasificación entre evento imputable y maniobra de protección.</w:t>
      </w:r>
    </w:p>
    <w:p>
      <w:pPr>
        <w:pStyle w:val="ListParagraph"/>
        <w:numPr>
          <w:ilvl w:val="0"/>
          <w:numId w:val="1"/>
        </w:numPr>
        <w:spacing w:after="80"/>
      </w:pPr>
      <w:r>
        <w:t xml:space="preserve">CPW02 — sin eventos, 100%/100%, la unidad más estable del sistema en junio.</w:t>
      </w:r>
    </w:p>
    <w:p>
      <w:pPr>
        <w:pStyle w:val="Heading2"/>
        <w:spacing w:after="140" w:before="280"/>
      </w:pPr>
      <w:r>
        <w:t xml:space="preserve">3.2 Sistema Vonu</w:t>
      </w:r>
    </w:p>
    <w:p>
      <w:pPr>
        <w:spacing w:after="120"/>
      </w:pPr>
      <w:r>
        <w:t xml:space="preserve">JIN-01 y JIN-02 cierran sin eventos correctivos, MTTR = 0 por ausencia de intervenciones, Disponibilidad y Confiabilidad de 100%. Frente a mayo (95.97% / 97.04%), el sistema elimina completamente la exposición correctiva observada.</w:t>
      </w:r>
    </w:p>
    <w:p>
      <w:pPr>
        <w:pStyle w:val="Heading1"/>
        <w:spacing w:after="140" w:before="280"/>
      </w:pPr>
      <w:r>
        <w:t xml:space="preserve">4. Análisis causal a partir del detalle diario (429 registros)</w:t>
      </w:r>
    </w:p>
    <w:p>
      <w:pPr>
        <w:spacing w:after="120"/>
      </w:pPr>
      <w:r>
        <w:t xml:space="preserve">El archivo de soporte contiene 183 registros con observación de bitácora durante junio. Clasificando el texto libre por causa raíz se obtiene el siguiente panorama, que complementa el conteo oficial de 'fallas' del dashboard con el universo completo de paradas, stand-by y horas PF (cliente/contratista):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800"/>
      </w:tblGrid>
      <w:tr>
        <w:trPr>
          <w:tblHeader/>
        </w:trPr>
        <w:tc>
          <w:tcPr>
            <w:tcW w:type="dxa" w:w="3200"/>
            <w:shd w:fill="1F3864" w:val="clear"/>
            <w:tcMar>
              <w:top w:type="dxa" w:w="60"/>
              <w:left w:type="dxa" w:w="80"/>
              <w:bottom w:type="dxa" w:w="60"/>
              <w:right w:type="dxa" w:w="80"/>
            </w:tcMar>
          </w:tcPr>
          <w:p>
            <w:pPr>
              <w:jc w:val="left"/>
            </w:pPr>
            <w:r>
              <w:rPr>
                <w:b/>
                <w:bCs/>
                <w:color w:val="FFFFFF"/>
                <w:sz w:val="18"/>
                <w:szCs w:val="18"/>
              </w:rPr>
              <w:t xml:space="preserve">Categoría de causa raíz (texto de bitácora)</w:t>
            </w:r>
          </w:p>
        </w:tc>
        <w:tc>
          <w:tcPr>
            <w:tcW w:type="dxa" w:w="1800"/>
            <w:shd w:fill="1F3864" w:val="clear"/>
            <w:tcMar>
              <w:top w:type="dxa" w:w="60"/>
              <w:left w:type="dxa" w:w="80"/>
              <w:bottom w:type="dxa" w:w="60"/>
              <w:right w:type="dxa" w:w="80"/>
            </w:tcMar>
          </w:tcPr>
          <w:p>
            <w:pPr>
              <w:jc w:val="left"/>
            </w:pPr>
            <w:r>
              <w:rPr>
                <w:b/>
                <w:bCs/>
                <w:color w:val="FFFFFF"/>
                <w:sz w:val="18"/>
                <w:szCs w:val="18"/>
              </w:rPr>
              <w:t xml:space="preserve">N.º de registros</w:t>
            </w:r>
          </w:p>
        </w:tc>
        <w:tc>
          <w:tcPr>
            <w:tcW w:type="dxa" w:w="2200"/>
            <w:shd w:fill="1F3864" w:val="clear"/>
            <w:tcMar>
              <w:top w:type="dxa" w:w="60"/>
              <w:left w:type="dxa" w:w="80"/>
              <w:bottom w:type="dxa" w:w="60"/>
              <w:right w:type="dxa" w:w="80"/>
            </w:tcMar>
          </w:tcPr>
          <w:p>
            <w:pPr>
              <w:jc w:val="left"/>
            </w:pPr>
            <w:r>
              <w:rPr>
                <w:b/>
                <w:bCs/>
                <w:color w:val="FFFFFF"/>
                <w:sz w:val="18"/>
                <w:szCs w:val="18"/>
              </w:rPr>
              <w:t xml:space="preserve">Horas PF cliente asociadas</w:t>
            </w:r>
          </w:p>
        </w:tc>
        <w:tc>
          <w:tcPr>
            <w:tcW w:type="dxa" w:w="2800"/>
            <w:shd w:fill="1F3864" w:val="clear"/>
            <w:tcMar>
              <w:top w:type="dxa" w:w="60"/>
              <w:left w:type="dxa" w:w="80"/>
              <w:bottom w:type="dxa" w:w="60"/>
              <w:right w:type="dxa" w:w="80"/>
            </w:tcMar>
          </w:tcPr>
          <w:p>
            <w:pPr>
              <w:jc w:val="left"/>
            </w:pPr>
            <w:r>
              <w:rPr>
                <w:b/>
                <w:bCs/>
                <w:color w:val="FFFFFF"/>
                <w:sz w:val="18"/>
                <w:szCs w:val="18"/>
              </w:rPr>
              <w:t xml:space="preserve">Unidades más afectadas</w:t>
            </w:r>
          </w:p>
        </w:tc>
      </w:tr>
      <w:tr>
        <w:tc>
          <w:tcPr>
            <w:tcW w:type="dxa" w:w="3200"/>
            <w:tcMar>
              <w:top w:type="dxa" w:w="60"/>
              <w:left w:type="dxa" w:w="80"/>
              <w:bottom w:type="dxa" w:w="60"/>
              <w:right w:type="dxa" w:w="80"/>
            </w:tcMar>
          </w:tcPr>
          <w:p>
            <w:pPr>
              <w:jc w:val="left"/>
            </w:pPr>
            <w:r>
              <w:rPr>
                <w:b w:val="false"/>
                <w:bCs w:val="false"/>
                <w:sz w:val="18"/>
                <w:szCs w:val="18"/>
              </w:rPr>
              <w:t xml:space="preserve">Falla del SIN / red externa (disparos, reconectadores, EEP)</w:t>
            </w:r>
          </w:p>
        </w:tc>
        <w:tc>
          <w:tcPr>
            <w:tcW w:type="dxa" w:w="1800"/>
            <w:tcMar>
              <w:top w:type="dxa" w:w="60"/>
              <w:left w:type="dxa" w:w="80"/>
              <w:bottom w:type="dxa" w:w="60"/>
              <w:right w:type="dxa" w:w="80"/>
            </w:tcMar>
          </w:tcPr>
          <w:p>
            <w:pPr>
              <w:jc w:val="center"/>
            </w:pPr>
            <w:r>
              <w:rPr>
                <w:b w:val="false"/>
                <w:bCs w:val="false"/>
                <w:sz w:val="18"/>
                <w:szCs w:val="18"/>
              </w:rPr>
              <w:t xml:space="preserve">52</w:t>
            </w:r>
          </w:p>
        </w:tc>
        <w:tc>
          <w:tcPr>
            <w:tcW w:type="dxa" w:w="2200"/>
            <w:tcMar>
              <w:top w:type="dxa" w:w="60"/>
              <w:left w:type="dxa" w:w="80"/>
              <w:bottom w:type="dxa" w:w="60"/>
              <w:right w:type="dxa" w:w="80"/>
            </w:tcMar>
          </w:tcPr>
          <w:p>
            <w:pPr>
              <w:jc w:val="center"/>
            </w:pPr>
            <w:r>
              <w:rPr>
                <w:b w:val="false"/>
                <w:bCs w:val="false"/>
                <w:sz w:val="18"/>
                <w:szCs w:val="18"/>
              </w:rPr>
              <w:t xml:space="preserve">37 h</w:t>
            </w:r>
          </w:p>
        </w:tc>
        <w:tc>
          <w:tcPr>
            <w:tcW w:type="dxa" w:w="2800"/>
            <w:tcMar>
              <w:top w:type="dxa" w:w="60"/>
              <w:left w:type="dxa" w:w="80"/>
              <w:bottom w:type="dxa" w:w="60"/>
              <w:right w:type="dxa" w:w="80"/>
            </w:tcMar>
          </w:tcPr>
          <w:p>
            <w:pPr>
              <w:jc w:val="center"/>
            </w:pPr>
            <w:r>
              <w:rPr>
                <w:b w:val="false"/>
                <w:bCs w:val="false"/>
                <w:sz w:val="18"/>
                <w:szCs w:val="18"/>
              </w:rPr>
              <w:t xml:space="preserve">CPW01-07, G-diésel, JIN-01/02, JIN-10</w:t>
            </w:r>
          </w:p>
        </w:tc>
      </w:tr>
      <w:tr>
        <w:tc>
          <w:tcPr>
            <w:tcW w:type="dxa" w:w="3200"/>
            <w:tcMar>
              <w:top w:type="dxa" w:w="60"/>
              <w:left w:type="dxa" w:w="80"/>
              <w:bottom w:type="dxa" w:w="60"/>
              <w:right w:type="dxa" w:w="80"/>
            </w:tcMar>
          </w:tcPr>
          <w:p>
            <w:pPr>
              <w:jc w:val="left"/>
            </w:pPr>
            <w:r>
              <w:rPr>
                <w:b w:val="false"/>
                <w:bCs w:val="false"/>
                <w:sz w:val="18"/>
                <w:szCs w:val="18"/>
              </w:rPr>
              <w:t xml:space="preserve">Parada/maniobra de la MRU (planta de recuperación)</w:t>
            </w:r>
          </w:p>
        </w:tc>
        <w:tc>
          <w:tcPr>
            <w:tcW w:type="dxa" w:w="1800"/>
            <w:tcMar>
              <w:top w:type="dxa" w:w="60"/>
              <w:left w:type="dxa" w:w="80"/>
              <w:bottom w:type="dxa" w:w="60"/>
              <w:right w:type="dxa" w:w="80"/>
            </w:tcMar>
          </w:tcPr>
          <w:p>
            <w:pPr>
              <w:jc w:val="center"/>
            </w:pPr>
            <w:r>
              <w:rPr>
                <w:b w:val="false"/>
                <w:bCs w:val="false"/>
                <w:sz w:val="18"/>
                <w:szCs w:val="18"/>
              </w:rPr>
              <w:t xml:space="preserve">43</w:t>
            </w:r>
          </w:p>
        </w:tc>
        <w:tc>
          <w:tcPr>
            <w:tcW w:type="dxa" w:w="2200"/>
            <w:tcMar>
              <w:top w:type="dxa" w:w="60"/>
              <w:left w:type="dxa" w:w="80"/>
              <w:bottom w:type="dxa" w:w="60"/>
              <w:right w:type="dxa" w:w="80"/>
            </w:tcMar>
          </w:tcPr>
          <w:p>
            <w:pPr>
              <w:jc w:val="center"/>
            </w:pPr>
            <w:r>
              <w:rPr>
                <w:b w:val="false"/>
                <w:bCs w:val="false"/>
                <w:sz w:val="18"/>
                <w:szCs w:val="18"/>
              </w:rPr>
              <w:t xml:space="preserve">95 h</w:t>
            </w:r>
          </w:p>
        </w:tc>
        <w:tc>
          <w:tcPr>
            <w:tcW w:type="dxa" w:w="2800"/>
            <w:tcMar>
              <w:top w:type="dxa" w:w="60"/>
              <w:left w:type="dxa" w:w="80"/>
              <w:bottom w:type="dxa" w:w="60"/>
              <w:right w:type="dxa" w:w="80"/>
            </w:tcMar>
          </w:tcPr>
          <w:p>
            <w:pPr>
              <w:jc w:val="center"/>
            </w:pPr>
            <w:r>
              <w:rPr>
                <w:b w:val="false"/>
                <w:bCs w:val="false"/>
                <w:sz w:val="18"/>
                <w:szCs w:val="18"/>
              </w:rPr>
              <w:t xml:space="preserve">CPW01, CPW02, CPW03, CPW07, JIN-10/11/12</w:t>
            </w:r>
          </w:p>
        </w:tc>
      </w:tr>
      <w:tr>
        <w:tc>
          <w:tcPr>
            <w:tcW w:type="dxa" w:w="3200"/>
            <w:tcMar>
              <w:top w:type="dxa" w:w="60"/>
              <w:left w:type="dxa" w:w="80"/>
              <w:bottom w:type="dxa" w:w="60"/>
              <w:right w:type="dxa" w:w="80"/>
            </w:tcMar>
          </w:tcPr>
          <w:p>
            <w:pPr>
              <w:jc w:val="left"/>
            </w:pPr>
            <w:r>
              <w:rPr>
                <w:b w:val="false"/>
                <w:bCs w:val="false"/>
                <w:sz w:val="18"/>
                <w:szCs w:val="18"/>
              </w:rPr>
              <w:t xml:space="preserve">Baja presión de gas CYC (clima / suministro de pozos)</w:t>
            </w:r>
          </w:p>
        </w:tc>
        <w:tc>
          <w:tcPr>
            <w:tcW w:type="dxa" w:w="1800"/>
            <w:tcMar>
              <w:top w:type="dxa" w:w="60"/>
              <w:left w:type="dxa" w:w="80"/>
              <w:bottom w:type="dxa" w:w="60"/>
              <w:right w:type="dxa" w:w="80"/>
            </w:tcMar>
          </w:tcPr>
          <w:p>
            <w:pPr>
              <w:jc w:val="center"/>
            </w:pPr>
            <w:r>
              <w:rPr>
                <w:b w:val="false"/>
                <w:bCs w:val="false"/>
                <w:sz w:val="18"/>
                <w:szCs w:val="18"/>
              </w:rPr>
              <w:t xml:space="preserve">40</w:t>
            </w:r>
          </w:p>
        </w:tc>
        <w:tc>
          <w:tcPr>
            <w:tcW w:type="dxa" w:w="2200"/>
            <w:tcMar>
              <w:top w:type="dxa" w:w="60"/>
              <w:left w:type="dxa" w:w="80"/>
              <w:bottom w:type="dxa" w:w="60"/>
              <w:right w:type="dxa" w:w="80"/>
            </w:tcMar>
          </w:tcPr>
          <w:p>
            <w:pPr>
              <w:jc w:val="center"/>
            </w:pPr>
            <w:r>
              <w:rPr>
                <w:b w:val="false"/>
                <w:bCs w:val="false"/>
                <w:sz w:val="18"/>
                <w:szCs w:val="18"/>
              </w:rPr>
              <w:t xml:space="preserve">14 h</w:t>
            </w:r>
          </w:p>
        </w:tc>
        <w:tc>
          <w:tcPr>
            <w:tcW w:type="dxa" w:w="2800"/>
            <w:tcMar>
              <w:top w:type="dxa" w:w="60"/>
              <w:left w:type="dxa" w:w="80"/>
              <w:bottom w:type="dxa" w:w="60"/>
              <w:right w:type="dxa" w:w="80"/>
            </w:tcMar>
          </w:tcPr>
          <w:p>
            <w:pPr>
              <w:jc w:val="center"/>
            </w:pPr>
            <w:r>
              <w:rPr>
                <w:b w:val="false"/>
                <w:bCs w:val="false"/>
                <w:sz w:val="18"/>
                <w:szCs w:val="18"/>
              </w:rPr>
              <w:t xml:space="preserve">JIN-10, JIN-11, JIN-12</w:t>
            </w:r>
          </w:p>
        </w:tc>
      </w:tr>
      <w:tr>
        <w:tc>
          <w:tcPr>
            <w:tcW w:type="dxa" w:w="3200"/>
            <w:tcMar>
              <w:top w:type="dxa" w:w="60"/>
              <w:left w:type="dxa" w:w="80"/>
              <w:bottom w:type="dxa" w:w="60"/>
              <w:right w:type="dxa" w:w="80"/>
            </w:tcMar>
          </w:tcPr>
          <w:p>
            <w:pPr>
              <w:jc w:val="left"/>
            </w:pPr>
            <w:r>
              <w:rPr>
                <w:b w:val="false"/>
                <w:bCs w:val="false"/>
                <w:sz w:val="18"/>
                <w:szCs w:val="18"/>
              </w:rPr>
              <w:t xml:space="preserve">Falla o evento correctivo propio del equipo</w:t>
            </w:r>
          </w:p>
        </w:tc>
        <w:tc>
          <w:tcPr>
            <w:tcW w:type="dxa" w:w="1800"/>
            <w:tcMar>
              <w:top w:type="dxa" w:w="60"/>
              <w:left w:type="dxa" w:w="80"/>
              <w:bottom w:type="dxa" w:w="60"/>
              <w:right w:type="dxa" w:w="80"/>
            </w:tcMar>
          </w:tcPr>
          <w:p>
            <w:pPr>
              <w:jc w:val="center"/>
            </w:pPr>
            <w:r>
              <w:rPr>
                <w:b w:val="false"/>
                <w:bCs w:val="false"/>
                <w:sz w:val="18"/>
                <w:szCs w:val="18"/>
              </w:rPr>
              <w:t xml:space="preserve">38</w:t>
            </w:r>
          </w:p>
        </w:tc>
        <w:tc>
          <w:tcPr>
            <w:tcW w:type="dxa" w:w="2200"/>
            <w:tcMar>
              <w:top w:type="dxa" w:w="60"/>
              <w:left w:type="dxa" w:w="80"/>
              <w:bottom w:type="dxa" w:w="60"/>
              <w:right w:type="dxa" w:w="80"/>
            </w:tcMar>
          </w:tcPr>
          <w:p>
            <w:pPr>
              <w:jc w:val="center"/>
            </w:pPr>
            <w:r>
              <w:rPr>
                <w:b w:val="false"/>
                <w:bCs w:val="false"/>
                <w:sz w:val="18"/>
                <w:szCs w:val="18"/>
              </w:rPr>
              <w:t xml:space="preserve">70 h</w:t>
            </w:r>
          </w:p>
        </w:tc>
        <w:tc>
          <w:tcPr>
            <w:tcW w:type="dxa" w:w="2800"/>
            <w:tcMar>
              <w:top w:type="dxa" w:w="60"/>
              <w:left w:type="dxa" w:w="80"/>
              <w:bottom w:type="dxa" w:w="60"/>
              <w:right w:type="dxa" w:w="80"/>
            </w:tcMar>
          </w:tcPr>
          <w:p>
            <w:pPr>
              <w:jc w:val="center"/>
            </w:pPr>
            <w:r>
              <w:rPr>
                <w:b w:val="false"/>
                <w:bCs w:val="false"/>
                <w:sz w:val="18"/>
                <w:szCs w:val="18"/>
              </w:rPr>
              <w:t xml:space="preserve">CPW01, CPW03, CPW04, CPW05, CPW06, CPW07</w:t>
            </w:r>
          </w:p>
        </w:tc>
      </w:tr>
      <w:tr>
        <w:tc>
          <w:tcPr>
            <w:tcW w:type="dxa" w:w="3200"/>
            <w:tcMar>
              <w:top w:type="dxa" w:w="60"/>
              <w:left w:type="dxa" w:w="80"/>
              <w:bottom w:type="dxa" w:w="60"/>
              <w:right w:type="dxa" w:w="80"/>
            </w:tcMar>
          </w:tcPr>
          <w:p>
            <w:pPr>
              <w:jc w:val="left"/>
            </w:pPr>
            <w:r>
              <w:rPr>
                <w:b w:val="false"/>
                <w:bCs w:val="false"/>
                <w:sz w:val="18"/>
                <w:szCs w:val="18"/>
              </w:rPr>
              <w:t xml:space="preserve">Maniobras operativas (cambios de gas, traslados, reparto de carga)</w:t>
            </w:r>
          </w:p>
        </w:tc>
        <w:tc>
          <w:tcPr>
            <w:tcW w:type="dxa" w:w="1800"/>
            <w:tcMar>
              <w:top w:type="dxa" w:w="60"/>
              <w:left w:type="dxa" w:w="80"/>
              <w:bottom w:type="dxa" w:w="60"/>
              <w:right w:type="dxa" w:w="80"/>
            </w:tcMar>
          </w:tcPr>
          <w:p>
            <w:pPr>
              <w:jc w:val="center"/>
            </w:pPr>
            <w:r>
              <w:rPr>
                <w:b w:val="false"/>
                <w:bCs w:val="false"/>
                <w:sz w:val="18"/>
                <w:szCs w:val="18"/>
              </w:rPr>
              <w:t xml:space="preserve">31</w:t>
            </w:r>
          </w:p>
        </w:tc>
        <w:tc>
          <w:tcPr>
            <w:tcW w:type="dxa" w:w="2200"/>
            <w:tcMar>
              <w:top w:type="dxa" w:w="60"/>
              <w:left w:type="dxa" w:w="80"/>
              <w:bottom w:type="dxa" w:w="60"/>
              <w:right w:type="dxa" w:w="80"/>
            </w:tcMar>
          </w:tcPr>
          <w:p>
            <w:pPr>
              <w:jc w:val="center"/>
            </w:pPr>
            <w:r>
              <w:rPr>
                <w:b w:val="false"/>
                <w:bCs w:val="false"/>
                <w:sz w:val="18"/>
                <w:szCs w:val="18"/>
              </w:rPr>
              <w:t xml:space="preserve">10 h</w:t>
            </w:r>
          </w:p>
        </w:tc>
        <w:tc>
          <w:tcPr>
            <w:tcW w:type="dxa" w:w="2800"/>
            <w:tcMar>
              <w:top w:type="dxa" w:w="60"/>
              <w:left w:type="dxa" w:w="80"/>
              <w:bottom w:type="dxa" w:w="60"/>
              <w:right w:type="dxa" w:w="80"/>
            </w:tcMar>
          </w:tcPr>
          <w:p>
            <w:pPr>
              <w:jc w:val="center"/>
            </w:pPr>
            <w:r>
              <w:rPr>
                <w:b w:val="false"/>
                <w:bCs w:val="false"/>
                <w:sz w:val="18"/>
                <w:szCs w:val="18"/>
              </w:rPr>
              <w:t xml:space="preserve">CPW01-07, G101V/102J/102K</w:t>
            </w:r>
          </w:p>
        </w:tc>
      </w:tr>
      <w:tr>
        <w:tc>
          <w:tcPr>
            <w:tcW w:type="dxa" w:w="3200"/>
            <w:tcMar>
              <w:top w:type="dxa" w:w="60"/>
              <w:left w:type="dxa" w:w="80"/>
              <w:bottom w:type="dxa" w:w="60"/>
              <w:right w:type="dxa" w:w="80"/>
            </w:tcMar>
          </w:tcPr>
          <w:p>
            <w:pPr>
              <w:jc w:val="left"/>
            </w:pPr>
            <w:r>
              <w:rPr>
                <w:b w:val="false"/>
                <w:bCs w:val="false"/>
                <w:sz w:val="18"/>
                <w:szCs w:val="18"/>
              </w:rPr>
              <w:t xml:space="preserve">Mantenimiento programado (M1/M2)</w:t>
            </w:r>
          </w:p>
        </w:tc>
        <w:tc>
          <w:tcPr>
            <w:tcW w:type="dxa" w:w="1800"/>
            <w:tcMar>
              <w:top w:type="dxa" w:w="60"/>
              <w:left w:type="dxa" w:w="80"/>
              <w:bottom w:type="dxa" w:w="60"/>
              <w:right w:type="dxa" w:w="80"/>
            </w:tcMar>
          </w:tcPr>
          <w:p>
            <w:pPr>
              <w:jc w:val="center"/>
            </w:pPr>
            <w:r>
              <w:rPr>
                <w:b w:val="false"/>
                <w:bCs w:val="false"/>
                <w:sz w:val="18"/>
                <w:szCs w:val="18"/>
              </w:rPr>
              <w:t xml:space="preserve">6</w:t>
            </w:r>
          </w:p>
        </w:tc>
        <w:tc>
          <w:tcPr>
            <w:tcW w:type="dxa" w:w="2200"/>
            <w:tcMar>
              <w:top w:type="dxa" w:w="60"/>
              <w:left w:type="dxa" w:w="80"/>
              <w:bottom w:type="dxa" w:w="60"/>
              <w:right w:type="dxa" w:w="80"/>
            </w:tcMar>
          </w:tcPr>
          <w:p>
            <w:pPr>
              <w:jc w:val="center"/>
            </w:pPr>
            <w:r>
              <w:rPr>
                <w:b w:val="false"/>
                <w:bCs w:val="false"/>
                <w:sz w:val="18"/>
                <w:szCs w:val="18"/>
              </w:rPr>
              <w:t xml:space="preserve">0 h (PP)</w:t>
            </w:r>
          </w:p>
        </w:tc>
        <w:tc>
          <w:tcPr>
            <w:tcW w:type="dxa" w:w="2800"/>
            <w:tcMar>
              <w:top w:type="dxa" w:w="60"/>
              <w:left w:type="dxa" w:w="80"/>
              <w:bottom w:type="dxa" w:w="60"/>
              <w:right w:type="dxa" w:w="80"/>
            </w:tcMar>
          </w:tcPr>
          <w:p>
            <w:pPr>
              <w:jc w:val="center"/>
            </w:pPr>
            <w:r>
              <w:rPr>
                <w:b w:val="false"/>
                <w:bCs w:val="false"/>
                <w:sz w:val="18"/>
                <w:szCs w:val="18"/>
              </w:rPr>
              <w:t xml:space="preserve">CPW03, CPW05, JIN-01, JIN-02</w:t>
            </w:r>
          </w:p>
        </w:tc>
      </w:tr>
    </w:tbl>
    <w:p>
      <w:pPr>
        <w:spacing w:after="120"/>
      </w:pPr>
      <w:r>
        <w:t xml:space="preserve"> </w:t>
      </w:r>
    </w:p>
    <w:p>
      <w:pPr>
        <w:spacing w:after="120"/>
      </w:pPr>
      <w:r>
        <w:rPr>
          <w:b w:val="false"/>
          <w:bCs w:val="false"/>
        </w:rPr>
        <w:t xml:space="preserve">Lectura clave: la MRU (planta de recuperación de líquidos) es el mayor generador de horas de indisponibilidad por parada externa (95 h de PF-cliente), por encima incluso de las fallas propias del equipo (70 h). Esto indica que, aunque el parque de generación cumple sus indicadores individuales, su disponibilidad efectiva sigue fuertemente acoplada a la estabilidad de la MRU, del SIN y del suministro de gas de pozos (CYC).</w:t>
      </w:r>
    </w:p>
    <w:p>
      <w:pPr>
        <w:pStyle w:val="Heading1"/>
        <w:spacing w:after="140" w:before="280"/>
      </w:pPr>
      <w:r>
        <w:t xml:space="preserve">5. Eventos correctivos individuales (detalle)</w:t>
      </w:r>
    </w:p>
    <w:p>
      <w:pPr>
        <w:spacing w:after="120"/>
      </w:pPr>
      <w:r>
        <w:t xml:space="preserve">Detalle de los eventos que alimentan el conteo oficial de fallas por unidad (Falla_evento=1 en el soporte):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300"/>
        <w:gridCol w:w="1500"/>
        <w:gridCol w:w="1600"/>
      </w:tblGrid>
      <w:tr>
        <w:trPr>
          <w:tblHeader/>
        </w:trPr>
        <w:tc>
          <w:tcPr>
            <w:tcW w:type="dxa" w:w="1300"/>
            <w:shd w:fill="1F3864" w:val="clear"/>
            <w:tcMar>
              <w:top w:type="dxa" w:w="60"/>
              <w:left w:type="dxa" w:w="80"/>
              <w:bottom w:type="dxa" w:w="60"/>
              <w:right w:type="dxa" w:w="80"/>
            </w:tcMar>
          </w:tcPr>
          <w:p>
            <w:pPr>
              <w:jc w:val="left"/>
            </w:pPr>
            <w:r>
              <w:rPr>
                <w:b/>
                <w:bCs/>
                <w:color w:val="FFFFFF"/>
                <w:sz w:val="18"/>
                <w:szCs w:val="18"/>
              </w:rPr>
              <w:t xml:space="preserve">Fecha</w:t>
            </w:r>
          </w:p>
        </w:tc>
        <w:tc>
          <w:tcPr>
            <w:tcW w:type="dxa" w:w="1500"/>
            <w:shd w:fill="1F3864" w:val="clear"/>
            <w:tcMar>
              <w:top w:type="dxa" w:w="60"/>
              <w:left w:type="dxa" w:w="80"/>
              <w:bottom w:type="dxa" w:w="60"/>
              <w:right w:type="dxa" w:w="80"/>
            </w:tcMar>
          </w:tcPr>
          <w:p>
            <w:pPr>
              <w:jc w:val="left"/>
            </w:pPr>
            <w:r>
              <w:rPr>
                <w:b/>
                <w:bCs/>
                <w:color w:val="FFFFFF"/>
                <w:sz w:val="18"/>
                <w:szCs w:val="18"/>
              </w:rPr>
              <w:t xml:space="preserve">Equipo</w:t>
            </w:r>
          </w:p>
        </w:tc>
        <w:tc>
          <w:tcPr>
            <w:tcW w:type="dxa" w:w="3300"/>
            <w:shd w:fill="1F3864" w:val="clear"/>
            <w:tcMar>
              <w:top w:type="dxa" w:w="60"/>
              <w:left w:type="dxa" w:w="80"/>
              <w:bottom w:type="dxa" w:w="60"/>
              <w:right w:type="dxa" w:w="80"/>
            </w:tcMar>
          </w:tcPr>
          <w:p>
            <w:pPr>
              <w:jc w:val="left"/>
            </w:pPr>
            <w:r>
              <w:rPr>
                <w:b/>
                <w:bCs/>
                <w:color w:val="FFFFFF"/>
                <w:sz w:val="18"/>
                <w:szCs w:val="18"/>
              </w:rPr>
              <w:t xml:space="preserve">Descripción de la falla (bitácora)</w:t>
            </w:r>
          </w:p>
        </w:tc>
        <w:tc>
          <w:tcPr>
            <w:tcW w:type="dxa" w:w="1500"/>
            <w:shd w:fill="1F3864" w:val="clear"/>
            <w:tcMar>
              <w:top w:type="dxa" w:w="60"/>
              <w:left w:type="dxa" w:w="80"/>
              <w:bottom w:type="dxa" w:w="60"/>
              <w:right w:type="dxa" w:w="80"/>
            </w:tcMar>
          </w:tcPr>
          <w:p>
            <w:pPr>
              <w:jc w:val="left"/>
            </w:pPr>
            <w:r>
              <w:rPr>
                <w:b/>
                <w:bCs/>
                <w:color w:val="FFFFFF"/>
                <w:sz w:val="18"/>
                <w:szCs w:val="18"/>
              </w:rPr>
              <w:t xml:space="preserve">Horas PF-contr</w:t>
            </w:r>
          </w:p>
        </w:tc>
        <w:tc>
          <w:tcPr>
            <w:tcW w:type="dxa" w:w="1600"/>
            <w:shd w:fill="1F3864" w:val="clear"/>
            <w:tcMar>
              <w:top w:type="dxa" w:w="60"/>
              <w:left w:type="dxa" w:w="80"/>
              <w:bottom w:type="dxa" w:w="60"/>
              <w:right w:type="dxa" w:w="80"/>
            </w:tcMar>
          </w:tcPr>
          <w:p>
            <w:pPr>
              <w:jc w:val="left"/>
            </w:pPr>
            <w:r>
              <w:rPr>
                <w:b/>
                <w:bCs/>
                <w:color w:val="FFFFFF"/>
                <w:sz w:val="18"/>
                <w:szCs w:val="18"/>
              </w:rPr>
              <w:t xml:space="preserve">MTTR ref.</w:t>
            </w:r>
          </w:p>
        </w:tc>
      </w:tr>
      <w:tr>
        <w:tc>
          <w:tcPr>
            <w:tcW w:type="dxa" w:w="1300"/>
            <w:tcMar>
              <w:top w:type="dxa" w:w="60"/>
              <w:left w:type="dxa" w:w="80"/>
              <w:bottom w:type="dxa" w:w="60"/>
              <w:right w:type="dxa" w:w="80"/>
            </w:tcMar>
          </w:tcPr>
          <w:p>
            <w:pPr>
              <w:jc w:val="center"/>
            </w:pPr>
            <w:r>
              <w:rPr>
                <w:b w:val="false"/>
                <w:bCs w:val="false"/>
                <w:sz w:val="16"/>
                <w:szCs w:val="16"/>
              </w:rPr>
              <w:t xml:space="preserve">03-jun</w:t>
            </w:r>
          </w:p>
        </w:tc>
        <w:tc>
          <w:tcPr>
            <w:tcW w:type="dxa" w:w="1500"/>
            <w:tcMar>
              <w:top w:type="dxa" w:w="60"/>
              <w:left w:type="dxa" w:w="80"/>
              <w:bottom w:type="dxa" w:w="60"/>
              <w:right w:type="dxa" w:w="80"/>
            </w:tcMar>
          </w:tcPr>
          <w:p>
            <w:pPr>
              <w:jc w:val="left"/>
            </w:pPr>
            <w:r>
              <w:rPr>
                <w:b w:val="false"/>
                <w:bCs w:val="false"/>
                <w:sz w:val="16"/>
                <w:szCs w:val="16"/>
              </w:rPr>
              <w:t xml:space="preserve">CPW06</w:t>
            </w:r>
          </w:p>
        </w:tc>
        <w:tc>
          <w:tcPr>
            <w:tcW w:type="dxa" w:w="3300"/>
            <w:tcMar>
              <w:top w:type="dxa" w:w="60"/>
              <w:left w:type="dxa" w:w="80"/>
              <w:bottom w:type="dxa" w:w="60"/>
              <w:right w:type="dxa" w:w="80"/>
            </w:tcMar>
          </w:tcPr>
          <w:p>
            <w:pPr>
              <w:jc w:val="left"/>
            </w:pPr>
            <w:r>
              <w:rPr>
                <w:b w:val="false"/>
                <w:bCs w:val="false"/>
                <w:sz w:val="16"/>
                <w:szCs w:val="16"/>
              </w:rPr>
              <w:t xml:space="preserve">Cambio de intercooler por exceso de residuo de secuestrante. Pendiente reporte de fallo.</w:t>
            </w:r>
          </w:p>
        </w:tc>
        <w:tc>
          <w:tcPr>
            <w:tcW w:type="dxa" w:w="1500"/>
            <w:tcMar>
              <w:top w:type="dxa" w:w="60"/>
              <w:left w:type="dxa" w:w="80"/>
              <w:bottom w:type="dxa" w:w="60"/>
              <w:right w:type="dxa" w:w="80"/>
            </w:tcMar>
          </w:tcPr>
          <w:p>
            <w:pPr>
              <w:jc w:val="center"/>
            </w:pPr>
            <w:r>
              <w:rPr>
                <w:b w:val="false"/>
                <w:bCs w:val="false"/>
                <w:sz w:val="16"/>
                <w:szCs w:val="16"/>
              </w:rPr>
              <w:t xml:space="preserve">4 h</w:t>
            </w:r>
          </w:p>
        </w:tc>
        <w:tc>
          <w:tcPr>
            <w:tcW w:type="dxa" w:w="1600"/>
            <w:tcMar>
              <w:top w:type="dxa" w:w="60"/>
              <w:left w:type="dxa" w:w="80"/>
              <w:bottom w:type="dxa" w:w="60"/>
              <w:right w:type="dxa" w:w="80"/>
            </w:tcMar>
          </w:tcPr>
          <w:p>
            <w:pPr>
              <w:jc w:val="center"/>
            </w:pPr>
            <w:r>
              <w:rPr>
                <w:b w:val="false"/>
                <w:bCs w:val="false"/>
                <w:sz w:val="16"/>
                <w:szCs w:val="16"/>
              </w:rPr>
              <w:t xml:space="preserve">2 h</w:t>
            </w:r>
          </w:p>
        </w:tc>
      </w:tr>
      <w:tr>
        <w:tc>
          <w:tcPr>
            <w:tcW w:type="dxa" w:w="1300"/>
            <w:tcMar>
              <w:top w:type="dxa" w:w="60"/>
              <w:left w:type="dxa" w:w="80"/>
              <w:bottom w:type="dxa" w:w="60"/>
              <w:right w:type="dxa" w:w="80"/>
            </w:tcMar>
          </w:tcPr>
          <w:p>
            <w:pPr>
              <w:jc w:val="center"/>
            </w:pPr>
            <w:r>
              <w:rPr>
                <w:b w:val="false"/>
                <w:bCs w:val="false"/>
                <w:sz w:val="16"/>
                <w:szCs w:val="16"/>
              </w:rPr>
              <w:t xml:space="preserve">05-jun</w:t>
            </w:r>
          </w:p>
        </w:tc>
        <w:tc>
          <w:tcPr>
            <w:tcW w:type="dxa" w:w="1500"/>
            <w:tcMar>
              <w:top w:type="dxa" w:w="60"/>
              <w:left w:type="dxa" w:w="80"/>
              <w:bottom w:type="dxa" w:w="60"/>
              <w:right w:type="dxa" w:w="80"/>
            </w:tcMar>
          </w:tcPr>
          <w:p>
            <w:pPr>
              <w:jc w:val="left"/>
            </w:pPr>
            <w:r>
              <w:rPr>
                <w:b w:val="false"/>
                <w:bCs w:val="false"/>
                <w:sz w:val="16"/>
                <w:szCs w:val="16"/>
              </w:rPr>
              <w:t xml:space="preserve">CPW01</w:t>
            </w:r>
          </w:p>
        </w:tc>
        <w:tc>
          <w:tcPr>
            <w:tcW w:type="dxa" w:w="3300"/>
            <w:tcMar>
              <w:top w:type="dxa" w:w="60"/>
              <w:left w:type="dxa" w:w="80"/>
              <w:bottom w:type="dxa" w:w="60"/>
              <w:right w:type="dxa" w:w="80"/>
            </w:tcMar>
          </w:tcPr>
          <w:p>
            <w:pPr>
              <w:jc w:val="left"/>
            </w:pPr>
            <w:r>
              <w:rPr>
                <w:b w:val="false"/>
                <w:bCs w:val="false"/>
                <w:sz w:val="16"/>
                <w:szCs w:val="16"/>
              </w:rPr>
              <w:t xml:space="preserve">Mantenimiento correctivo por exostación (02-jun); al iniciar en línea se daña el flexible del múltiple de gases de escape.</w:t>
            </w:r>
          </w:p>
        </w:tc>
        <w:tc>
          <w:tcPr>
            <w:tcW w:type="dxa" w:w="1500"/>
            <w:tcMar>
              <w:top w:type="dxa" w:w="60"/>
              <w:left w:type="dxa" w:w="80"/>
              <w:bottom w:type="dxa" w:w="60"/>
              <w:right w:type="dxa" w:w="80"/>
            </w:tcMar>
          </w:tcPr>
          <w:p>
            <w:pPr>
              <w:jc w:val="center"/>
            </w:pPr>
            <w:r>
              <w:rPr>
                <w:b w:val="false"/>
                <w:bCs w:val="false"/>
                <w:sz w:val="16"/>
                <w:szCs w:val="16"/>
              </w:rPr>
              <w:t xml:space="preserve">2 h</w:t>
            </w:r>
          </w:p>
        </w:tc>
        <w:tc>
          <w:tcPr>
            <w:tcW w:type="dxa" w:w="1600"/>
            <w:tcMar>
              <w:top w:type="dxa" w:w="60"/>
              <w:left w:type="dxa" w:w="80"/>
              <w:bottom w:type="dxa" w:w="60"/>
              <w:right w:type="dxa" w:w="80"/>
            </w:tcMar>
          </w:tcPr>
          <w:p>
            <w:pPr>
              <w:jc w:val="center"/>
            </w:pPr>
            <w:r>
              <w:rPr>
                <w:b w:val="false"/>
                <w:bCs w:val="false"/>
                <w:sz w:val="16"/>
                <w:szCs w:val="16"/>
              </w:rPr>
              <w:t xml:space="preserve">2 h</w:t>
            </w:r>
          </w:p>
        </w:tc>
      </w:tr>
      <w:tr>
        <w:tc>
          <w:tcPr>
            <w:tcW w:type="dxa" w:w="1300"/>
            <w:tcMar>
              <w:top w:type="dxa" w:w="60"/>
              <w:left w:type="dxa" w:w="80"/>
              <w:bottom w:type="dxa" w:w="60"/>
              <w:right w:type="dxa" w:w="80"/>
            </w:tcMar>
          </w:tcPr>
          <w:p>
            <w:pPr>
              <w:jc w:val="center"/>
            </w:pPr>
            <w:r>
              <w:rPr>
                <w:b w:val="false"/>
                <w:bCs w:val="false"/>
                <w:sz w:val="16"/>
                <w:szCs w:val="16"/>
              </w:rPr>
              <w:t xml:space="preserve">07-jun</w:t>
            </w:r>
          </w:p>
        </w:tc>
        <w:tc>
          <w:tcPr>
            <w:tcW w:type="dxa" w:w="1500"/>
            <w:tcMar>
              <w:top w:type="dxa" w:w="60"/>
              <w:left w:type="dxa" w:w="80"/>
              <w:bottom w:type="dxa" w:w="60"/>
              <w:right w:type="dxa" w:w="80"/>
            </w:tcMar>
          </w:tcPr>
          <w:p>
            <w:pPr>
              <w:jc w:val="left"/>
            </w:pPr>
            <w:r>
              <w:rPr>
                <w:b w:val="false"/>
                <w:bCs w:val="false"/>
                <w:sz w:val="16"/>
                <w:szCs w:val="16"/>
              </w:rPr>
              <w:t xml:space="preserve">CPW01</w:t>
            </w:r>
          </w:p>
        </w:tc>
        <w:tc>
          <w:tcPr>
            <w:tcW w:type="dxa" w:w="3300"/>
            <w:tcMar>
              <w:top w:type="dxa" w:w="60"/>
              <w:left w:type="dxa" w:w="80"/>
              <w:bottom w:type="dxa" w:w="60"/>
              <w:right w:type="dxa" w:w="80"/>
            </w:tcMar>
          </w:tcPr>
          <w:p>
            <w:pPr>
              <w:jc w:val="left"/>
            </w:pPr>
            <w:r>
              <w:rPr>
                <w:b w:val="false"/>
                <w:bCs w:val="false"/>
                <w:sz w:val="16"/>
                <w:szCs w:val="16"/>
              </w:rPr>
              <w:t xml:space="preserve">FDL por SD detonación; caída de presión de gas; cambio de base y relé K4, válvula shutoff.</w:t>
            </w:r>
          </w:p>
        </w:tc>
        <w:tc>
          <w:tcPr>
            <w:tcW w:type="dxa" w:w="1500"/>
            <w:tcMar>
              <w:top w:type="dxa" w:w="60"/>
              <w:left w:type="dxa" w:w="80"/>
              <w:bottom w:type="dxa" w:w="60"/>
              <w:right w:type="dxa" w:w="80"/>
            </w:tcMar>
          </w:tcPr>
          <w:p>
            <w:pPr>
              <w:jc w:val="center"/>
            </w:pPr>
            <w:r>
              <w:rPr>
                <w:b w:val="false"/>
                <w:bCs w:val="false"/>
                <w:sz w:val="16"/>
                <w:szCs w:val="16"/>
              </w:rPr>
              <w:t xml:space="preserve">0 h (3h PFcli)</w:t>
            </w:r>
          </w:p>
        </w:tc>
        <w:tc>
          <w:tcPr>
            <w:tcW w:type="dxa" w:w="1600"/>
            <w:tcMar>
              <w:top w:type="dxa" w:w="60"/>
              <w:left w:type="dxa" w:w="80"/>
              <w:bottom w:type="dxa" w:w="60"/>
              <w:right w:type="dxa" w:w="80"/>
            </w:tcMar>
          </w:tcPr>
          <w:p>
            <w:pPr>
              <w:jc w:val="center"/>
            </w:pPr>
            <w:r>
              <w:rPr>
                <w:b w:val="false"/>
                <w:bCs w:val="false"/>
                <w:sz w:val="16"/>
                <w:szCs w:val="16"/>
              </w:rPr>
              <w:t xml:space="preserve">2 h</w:t>
            </w:r>
          </w:p>
        </w:tc>
      </w:tr>
      <w:tr>
        <w:tc>
          <w:tcPr>
            <w:tcW w:type="dxa" w:w="1300"/>
            <w:tcMar>
              <w:top w:type="dxa" w:w="60"/>
              <w:left w:type="dxa" w:w="80"/>
              <w:bottom w:type="dxa" w:w="60"/>
              <w:right w:type="dxa" w:w="80"/>
            </w:tcMar>
          </w:tcPr>
          <w:p>
            <w:pPr>
              <w:jc w:val="center"/>
            </w:pPr>
            <w:r>
              <w:rPr>
                <w:b w:val="false"/>
                <w:bCs w:val="false"/>
                <w:sz w:val="16"/>
                <w:szCs w:val="16"/>
              </w:rPr>
              <w:t xml:space="preserve">11-jun</w:t>
            </w:r>
          </w:p>
        </w:tc>
        <w:tc>
          <w:tcPr>
            <w:tcW w:type="dxa" w:w="1500"/>
            <w:tcMar>
              <w:top w:type="dxa" w:w="60"/>
              <w:left w:type="dxa" w:w="80"/>
              <w:bottom w:type="dxa" w:w="60"/>
              <w:right w:type="dxa" w:w="80"/>
            </w:tcMar>
          </w:tcPr>
          <w:p>
            <w:pPr>
              <w:jc w:val="left"/>
            </w:pPr>
            <w:r>
              <w:rPr>
                <w:b w:val="false"/>
                <w:bCs w:val="false"/>
                <w:sz w:val="16"/>
                <w:szCs w:val="16"/>
              </w:rPr>
              <w:t xml:space="preserve">CPW03</w:t>
            </w:r>
          </w:p>
        </w:tc>
        <w:tc>
          <w:tcPr>
            <w:tcW w:type="dxa" w:w="3300"/>
            <w:tcMar>
              <w:top w:type="dxa" w:w="60"/>
              <w:left w:type="dxa" w:w="80"/>
              <w:bottom w:type="dxa" w:w="60"/>
              <w:right w:type="dxa" w:w="80"/>
            </w:tcMar>
          </w:tcPr>
          <w:p>
            <w:pPr>
              <w:jc w:val="left"/>
            </w:pPr>
            <w:r>
              <w:rPr>
                <w:b w:val="false"/>
                <w:bCs w:val="false"/>
                <w:sz w:val="16"/>
                <w:szCs w:val="16"/>
              </w:rPr>
              <w:t xml:space="preserve">Sale por detonación del equipo (15/06 sin reporte de falla en bitácora, inconsistencia de fecha).</w:t>
            </w:r>
          </w:p>
        </w:tc>
        <w:tc>
          <w:tcPr>
            <w:tcW w:type="dxa" w:w="1500"/>
            <w:tcMar>
              <w:top w:type="dxa" w:w="60"/>
              <w:left w:type="dxa" w:w="80"/>
              <w:bottom w:type="dxa" w:w="60"/>
              <w:right w:type="dxa" w:w="80"/>
            </w:tcMar>
          </w:tcPr>
          <w:p>
            <w:pPr>
              <w:jc w:val="center"/>
            </w:pPr>
            <w:r>
              <w:rPr>
                <w:b w:val="false"/>
                <w:bCs w:val="false"/>
                <w:sz w:val="16"/>
                <w:szCs w:val="16"/>
              </w:rPr>
              <w:t xml:space="preserve">5 h</w:t>
            </w:r>
          </w:p>
        </w:tc>
        <w:tc>
          <w:tcPr>
            <w:tcW w:type="dxa" w:w="1600"/>
            <w:tcMar>
              <w:top w:type="dxa" w:w="60"/>
              <w:left w:type="dxa" w:w="80"/>
              <w:bottom w:type="dxa" w:w="60"/>
              <w:right w:type="dxa" w:w="80"/>
            </w:tcMar>
          </w:tcPr>
          <w:p>
            <w:pPr>
              <w:jc w:val="center"/>
            </w:pPr>
            <w:r>
              <w:rPr>
                <w:b w:val="false"/>
                <w:bCs w:val="false"/>
                <w:sz w:val="16"/>
                <w:szCs w:val="16"/>
              </w:rPr>
              <w:t xml:space="preserve">5 h</w:t>
            </w:r>
          </w:p>
        </w:tc>
      </w:tr>
      <w:tr>
        <w:tc>
          <w:tcPr>
            <w:tcW w:type="dxa" w:w="1300"/>
            <w:tcMar>
              <w:top w:type="dxa" w:w="60"/>
              <w:left w:type="dxa" w:w="80"/>
              <w:bottom w:type="dxa" w:w="60"/>
              <w:right w:type="dxa" w:w="80"/>
            </w:tcMar>
          </w:tcPr>
          <w:p>
            <w:pPr>
              <w:jc w:val="center"/>
            </w:pPr>
            <w:r>
              <w:rPr>
                <w:b w:val="false"/>
                <w:bCs w:val="false"/>
                <w:sz w:val="16"/>
                <w:szCs w:val="16"/>
              </w:rPr>
              <w:t xml:space="preserve">23-jun</w:t>
            </w:r>
          </w:p>
        </w:tc>
        <w:tc>
          <w:tcPr>
            <w:tcW w:type="dxa" w:w="1500"/>
            <w:tcMar>
              <w:top w:type="dxa" w:w="60"/>
              <w:left w:type="dxa" w:w="80"/>
              <w:bottom w:type="dxa" w:w="60"/>
              <w:right w:type="dxa" w:w="80"/>
            </w:tcMar>
          </w:tcPr>
          <w:p>
            <w:pPr>
              <w:jc w:val="left"/>
            </w:pPr>
            <w:r>
              <w:rPr>
                <w:b w:val="false"/>
                <w:bCs w:val="false"/>
                <w:sz w:val="16"/>
                <w:szCs w:val="16"/>
              </w:rPr>
              <w:t xml:space="preserve">CPW04 / CPW05</w:t>
            </w:r>
          </w:p>
        </w:tc>
        <w:tc>
          <w:tcPr>
            <w:tcW w:type="dxa" w:w="3300"/>
            <w:tcMar>
              <w:top w:type="dxa" w:w="60"/>
              <w:left w:type="dxa" w:w="80"/>
              <w:bottom w:type="dxa" w:w="60"/>
              <w:right w:type="dxa" w:w="80"/>
            </w:tcMar>
          </w:tcPr>
          <w:p>
            <w:pPr>
              <w:jc w:val="left"/>
            </w:pPr>
            <w:r>
              <w:rPr>
                <w:b w:val="false"/>
                <w:bCs w:val="false"/>
                <w:sz w:val="16"/>
                <w:szCs w:val="16"/>
              </w:rPr>
              <w:t xml:space="preserve">Dos salidas por apertura del totalizador principal del tablero de auxiliares 480V; pendiente verificar ajuste de protecciones.</w:t>
            </w:r>
          </w:p>
        </w:tc>
        <w:tc>
          <w:tcPr>
            <w:tcW w:type="dxa" w:w="1500"/>
            <w:tcMar>
              <w:top w:type="dxa" w:w="60"/>
              <w:left w:type="dxa" w:w="80"/>
              <w:bottom w:type="dxa" w:w="60"/>
              <w:right w:type="dxa" w:w="80"/>
            </w:tcMar>
          </w:tcPr>
          <w:p>
            <w:pPr>
              <w:jc w:val="center"/>
            </w:pPr>
            <w:r>
              <w:rPr>
                <w:b w:val="false"/>
                <w:bCs w:val="false"/>
                <w:sz w:val="16"/>
                <w:szCs w:val="16"/>
              </w:rPr>
              <w:t xml:space="preserve">0 h (1-2h PFcli)</w:t>
            </w:r>
          </w:p>
        </w:tc>
        <w:tc>
          <w:tcPr>
            <w:tcW w:type="dxa" w:w="1600"/>
            <w:tcMar>
              <w:top w:type="dxa" w:w="60"/>
              <w:left w:type="dxa" w:w="80"/>
              <w:bottom w:type="dxa" w:w="60"/>
              <w:right w:type="dxa" w:w="80"/>
            </w:tcMar>
          </w:tcPr>
          <w:p>
            <w:pPr>
              <w:jc w:val="center"/>
            </w:pPr>
            <w:r>
              <w:rPr>
                <w:b w:val="false"/>
                <w:bCs w:val="false"/>
                <w:sz w:val="16"/>
                <w:szCs w:val="16"/>
              </w:rPr>
              <w:t xml:space="preserve">-</w:t>
            </w:r>
          </w:p>
        </w:tc>
      </w:tr>
      <w:tr>
        <w:tc>
          <w:tcPr>
            <w:tcW w:type="dxa" w:w="1300"/>
            <w:tcMar>
              <w:top w:type="dxa" w:w="60"/>
              <w:left w:type="dxa" w:w="80"/>
              <w:bottom w:type="dxa" w:w="60"/>
              <w:right w:type="dxa" w:w="80"/>
            </w:tcMar>
          </w:tcPr>
          <w:p>
            <w:pPr>
              <w:jc w:val="center"/>
            </w:pPr>
            <w:r>
              <w:rPr>
                <w:b w:val="false"/>
                <w:bCs w:val="false"/>
                <w:sz w:val="16"/>
                <w:szCs w:val="16"/>
              </w:rPr>
              <w:t xml:space="preserve">27-jun</w:t>
            </w:r>
          </w:p>
        </w:tc>
        <w:tc>
          <w:tcPr>
            <w:tcW w:type="dxa" w:w="1500"/>
            <w:tcMar>
              <w:top w:type="dxa" w:w="60"/>
              <w:left w:type="dxa" w:w="80"/>
              <w:bottom w:type="dxa" w:w="60"/>
              <w:right w:type="dxa" w:w="80"/>
            </w:tcMar>
          </w:tcPr>
          <w:p>
            <w:pPr>
              <w:jc w:val="left"/>
            </w:pPr>
            <w:r>
              <w:rPr>
                <w:b w:val="false"/>
                <w:bCs w:val="false"/>
                <w:sz w:val="16"/>
                <w:szCs w:val="16"/>
              </w:rPr>
              <w:t xml:space="preserve">CPW06 / CPW07</w:t>
            </w:r>
          </w:p>
        </w:tc>
        <w:tc>
          <w:tcPr>
            <w:tcW w:type="dxa" w:w="3300"/>
            <w:tcMar>
              <w:top w:type="dxa" w:w="60"/>
              <w:left w:type="dxa" w:w="80"/>
              <w:bottom w:type="dxa" w:w="60"/>
              <w:right w:type="dxa" w:w="80"/>
            </w:tcMar>
          </w:tcPr>
          <w:p>
            <w:pPr>
              <w:jc w:val="left"/>
            </w:pPr>
            <w:r>
              <w:rPr>
                <w:b w:val="false"/>
                <w:bCs w:val="false"/>
                <w:sz w:val="16"/>
                <w:szCs w:val="16"/>
              </w:rPr>
              <w:t xml:space="preserve">Perturbación de red por FDL de G56/G57: sobretensión a 660 VAC y caída de frecuencia a 56 Hz.</w:t>
            </w:r>
          </w:p>
        </w:tc>
        <w:tc>
          <w:tcPr>
            <w:tcW w:type="dxa" w:w="1500"/>
            <w:tcMar>
              <w:top w:type="dxa" w:w="60"/>
              <w:left w:type="dxa" w:w="80"/>
              <w:bottom w:type="dxa" w:w="60"/>
              <w:right w:type="dxa" w:w="80"/>
            </w:tcMar>
          </w:tcPr>
          <w:p>
            <w:pPr>
              <w:jc w:val="center"/>
            </w:pPr>
            <w:r>
              <w:rPr>
                <w:b w:val="false"/>
                <w:bCs w:val="false"/>
                <w:sz w:val="16"/>
                <w:szCs w:val="16"/>
              </w:rPr>
              <w:t xml:space="preserve">2 h / 5 h</w:t>
            </w:r>
          </w:p>
        </w:tc>
        <w:tc>
          <w:tcPr>
            <w:tcW w:type="dxa" w:w="1600"/>
            <w:tcMar>
              <w:top w:type="dxa" w:w="60"/>
              <w:left w:type="dxa" w:w="80"/>
              <w:bottom w:type="dxa" w:w="60"/>
              <w:right w:type="dxa" w:w="80"/>
            </w:tcMar>
          </w:tcPr>
          <w:p>
            <w:pPr>
              <w:jc w:val="center"/>
            </w:pPr>
            <w:r>
              <w:rPr>
                <w:b w:val="false"/>
                <w:bCs w:val="false"/>
                <w:sz w:val="16"/>
                <w:szCs w:val="16"/>
              </w:rPr>
              <w:t xml:space="preserve">2 h / 5 h</w:t>
            </w:r>
          </w:p>
        </w:tc>
      </w:tr>
      <w:tr>
        <w:tc>
          <w:tcPr>
            <w:tcW w:type="dxa" w:w="1300"/>
            <w:tcMar>
              <w:top w:type="dxa" w:w="60"/>
              <w:left w:type="dxa" w:w="80"/>
              <w:bottom w:type="dxa" w:w="60"/>
              <w:right w:type="dxa" w:w="80"/>
            </w:tcMar>
          </w:tcPr>
          <w:p>
            <w:pPr>
              <w:jc w:val="center"/>
            </w:pPr>
            <w:r>
              <w:rPr>
                <w:b w:val="false"/>
                <w:bCs w:val="false"/>
                <w:sz w:val="16"/>
                <w:szCs w:val="16"/>
              </w:rPr>
              <w:t xml:space="preserve">28-jun</w:t>
            </w:r>
          </w:p>
        </w:tc>
        <w:tc>
          <w:tcPr>
            <w:tcW w:type="dxa" w:w="1500"/>
            <w:tcMar>
              <w:top w:type="dxa" w:w="60"/>
              <w:left w:type="dxa" w:w="80"/>
              <w:bottom w:type="dxa" w:w="60"/>
              <w:right w:type="dxa" w:w="80"/>
            </w:tcMar>
          </w:tcPr>
          <w:p>
            <w:pPr>
              <w:jc w:val="left"/>
            </w:pPr>
            <w:r>
              <w:rPr>
                <w:b w:val="false"/>
                <w:bCs w:val="false"/>
                <w:sz w:val="16"/>
                <w:szCs w:val="16"/>
              </w:rPr>
              <w:t xml:space="preserve">CPW05</w:t>
            </w:r>
          </w:p>
        </w:tc>
        <w:tc>
          <w:tcPr>
            <w:tcW w:type="dxa" w:w="3300"/>
            <w:tcMar>
              <w:top w:type="dxa" w:w="60"/>
              <w:left w:type="dxa" w:w="80"/>
              <w:bottom w:type="dxa" w:w="60"/>
              <w:right w:type="dxa" w:w="80"/>
            </w:tcMar>
          </w:tcPr>
          <w:p>
            <w:pPr>
              <w:jc w:val="left"/>
            </w:pPr>
            <w:r>
              <w:rPr>
                <w:b w:val="false"/>
                <w:bCs w:val="false"/>
                <w:sz w:val="16"/>
                <w:szCs w:val="16"/>
              </w:rPr>
              <w:t xml:space="preserve">Salida manual por potencia inversa y falla de gobernación.</w:t>
            </w:r>
          </w:p>
        </w:tc>
        <w:tc>
          <w:tcPr>
            <w:tcW w:type="dxa" w:w="1500"/>
            <w:tcMar>
              <w:top w:type="dxa" w:w="60"/>
              <w:left w:type="dxa" w:w="80"/>
              <w:bottom w:type="dxa" w:w="60"/>
              <w:right w:type="dxa" w:w="80"/>
            </w:tcMar>
          </w:tcPr>
          <w:p>
            <w:pPr>
              <w:jc w:val="center"/>
            </w:pPr>
            <w:r>
              <w:rPr>
                <w:b w:val="false"/>
                <w:bCs w:val="false"/>
                <w:sz w:val="16"/>
                <w:szCs w:val="16"/>
              </w:rPr>
              <w:t xml:space="preserve">1 h</w:t>
            </w:r>
          </w:p>
        </w:tc>
        <w:tc>
          <w:tcPr>
            <w:tcW w:type="dxa" w:w="1600"/>
            <w:tcMar>
              <w:top w:type="dxa" w:w="60"/>
              <w:left w:type="dxa" w:w="80"/>
              <w:bottom w:type="dxa" w:w="60"/>
              <w:right w:type="dxa" w:w="80"/>
            </w:tcMar>
          </w:tcPr>
          <w:p>
            <w:pPr>
              <w:jc w:val="center"/>
            </w:pPr>
            <w:r>
              <w:rPr>
                <w:b w:val="false"/>
                <w:bCs w:val="false"/>
                <w:sz w:val="16"/>
                <w:szCs w:val="16"/>
              </w:rPr>
              <w:t xml:space="preserve">-</w:t>
            </w:r>
          </w:p>
        </w:tc>
      </w:tr>
      <w:tr>
        <w:tc>
          <w:tcPr>
            <w:tcW w:type="dxa" w:w="1300"/>
            <w:tcMar>
              <w:top w:type="dxa" w:w="60"/>
              <w:left w:type="dxa" w:w="80"/>
              <w:bottom w:type="dxa" w:w="60"/>
              <w:right w:type="dxa" w:w="80"/>
            </w:tcMar>
          </w:tcPr>
          <w:p>
            <w:pPr>
              <w:jc w:val="center"/>
            </w:pPr>
            <w:r>
              <w:rPr>
                <w:b w:val="false"/>
                <w:bCs w:val="false"/>
                <w:sz w:val="16"/>
                <w:szCs w:val="16"/>
              </w:rPr>
              <w:t xml:space="preserve">28-jun</w:t>
            </w:r>
          </w:p>
        </w:tc>
        <w:tc>
          <w:tcPr>
            <w:tcW w:type="dxa" w:w="1500"/>
            <w:tcMar>
              <w:top w:type="dxa" w:w="60"/>
              <w:left w:type="dxa" w:w="80"/>
              <w:bottom w:type="dxa" w:w="60"/>
              <w:right w:type="dxa" w:w="80"/>
            </w:tcMar>
          </w:tcPr>
          <w:p>
            <w:pPr>
              <w:jc w:val="left"/>
            </w:pPr>
            <w:r>
              <w:rPr>
                <w:b w:val="false"/>
                <w:bCs w:val="false"/>
                <w:sz w:val="16"/>
                <w:szCs w:val="16"/>
              </w:rPr>
              <w:t xml:space="preserve">CPW06</w:t>
            </w:r>
          </w:p>
        </w:tc>
        <w:tc>
          <w:tcPr>
            <w:tcW w:type="dxa" w:w="3300"/>
            <w:tcMar>
              <w:top w:type="dxa" w:w="60"/>
              <w:left w:type="dxa" w:w="80"/>
              <w:bottom w:type="dxa" w:w="60"/>
              <w:right w:type="dxa" w:w="80"/>
            </w:tcMar>
          </w:tcPr>
          <w:p>
            <w:pPr>
              <w:jc w:val="left"/>
            </w:pPr>
            <w:r>
              <w:rPr>
                <w:b w:val="false"/>
                <w:bCs w:val="false"/>
                <w:sz w:val="16"/>
                <w:szCs w:val="16"/>
              </w:rPr>
              <w:t xml:space="preserve">Salida por sobrecarga.</w:t>
            </w:r>
          </w:p>
        </w:tc>
        <w:tc>
          <w:tcPr>
            <w:tcW w:type="dxa" w:w="1500"/>
            <w:tcMar>
              <w:top w:type="dxa" w:w="60"/>
              <w:left w:type="dxa" w:w="80"/>
              <w:bottom w:type="dxa" w:w="60"/>
              <w:right w:type="dxa" w:w="80"/>
            </w:tcMar>
          </w:tcPr>
          <w:p>
            <w:pPr>
              <w:jc w:val="center"/>
            </w:pPr>
            <w:r>
              <w:rPr>
                <w:b w:val="false"/>
                <w:bCs w:val="false"/>
                <w:sz w:val="16"/>
                <w:szCs w:val="16"/>
              </w:rPr>
              <w:t xml:space="preserve">1 h</w:t>
            </w:r>
          </w:p>
        </w:tc>
        <w:tc>
          <w:tcPr>
            <w:tcW w:type="dxa" w:w="1600"/>
            <w:tcMar>
              <w:top w:type="dxa" w:w="60"/>
              <w:left w:type="dxa" w:w="80"/>
              <w:bottom w:type="dxa" w:w="60"/>
              <w:right w:type="dxa" w:w="80"/>
            </w:tcMar>
          </w:tcPr>
          <w:p>
            <w:pPr>
              <w:jc w:val="center"/>
            </w:pPr>
            <w:r>
              <w:rPr>
                <w:b w:val="false"/>
                <w:bCs w:val="false"/>
                <w:sz w:val="16"/>
                <w:szCs w:val="16"/>
              </w:rPr>
              <w:t xml:space="preserve">-</w:t>
            </w:r>
          </w:p>
        </w:tc>
      </w:tr>
    </w:tbl>
    <w:p>
      <w:pPr>
        <w:pStyle w:val="Heading1"/>
        <w:spacing w:after="140" w:before="280"/>
      </w:pPr>
      <w:r>
        <w:t xml:space="preserve">6. Eventos de causa común (afectación multi-activo el mismo día)</w:t>
      </w:r>
    </w:p>
    <w:p>
      <w:pPr>
        <w:spacing w:after="120"/>
      </w:pPr>
      <w:r>
        <w:t xml:space="preserve">Seis fechas del mes registran eventos que afectaron simultáneamente a múltiples unidades del parque, todos de origen externo al equipo de generación (SIN, MRU, protecciones de red):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7400"/>
      </w:tblGrid>
      <w:tr>
        <w:trPr>
          <w:tblHeader/>
        </w:trPr>
        <w:tc>
          <w:tcPr>
            <w:tcW w:type="dxa" w:w="1400"/>
            <w:shd w:fill="1F3864" w:val="clear"/>
            <w:tcMar>
              <w:top w:type="dxa" w:w="60"/>
              <w:left w:type="dxa" w:w="80"/>
              <w:bottom w:type="dxa" w:w="60"/>
              <w:right w:type="dxa" w:w="80"/>
            </w:tcMar>
          </w:tcPr>
          <w:p>
            <w:pPr>
              <w:jc w:val="left"/>
            </w:pPr>
            <w:r>
              <w:rPr>
                <w:b/>
                <w:bCs/>
                <w:color w:val="FFFFFF"/>
                <w:sz w:val="18"/>
                <w:szCs w:val="18"/>
              </w:rPr>
              <w:t xml:space="preserve">Fecha</w:t>
            </w:r>
          </w:p>
        </w:tc>
        <w:tc>
          <w:tcPr>
            <w:tcW w:type="dxa" w:w="7400"/>
            <w:shd w:fill="1F3864" w:val="clear"/>
            <w:tcMar>
              <w:top w:type="dxa" w:w="60"/>
              <w:left w:type="dxa" w:w="80"/>
              <w:bottom w:type="dxa" w:w="60"/>
              <w:right w:type="dxa" w:w="80"/>
            </w:tcMar>
          </w:tcPr>
          <w:p>
            <w:pPr>
              <w:jc w:val="left"/>
            </w:pPr>
            <w:r>
              <w:rPr>
                <w:b/>
                <w:bCs/>
                <w:color w:val="FFFFFF"/>
                <w:sz w:val="18"/>
                <w:szCs w:val="18"/>
              </w:rPr>
              <w:t xml:space="preserve">Evento sistémico de causa común (afecta múltiples unidades el mismo día)</w:t>
            </w:r>
          </w:p>
        </w:tc>
      </w:tr>
      <w:tr>
        <w:tc>
          <w:tcPr>
            <w:tcW w:type="dxa" w:w="1400"/>
            <w:tcMar>
              <w:top w:type="dxa" w:w="60"/>
              <w:left w:type="dxa" w:w="80"/>
              <w:bottom w:type="dxa" w:w="60"/>
              <w:right w:type="dxa" w:w="80"/>
            </w:tcMar>
          </w:tcPr>
          <w:p>
            <w:pPr>
              <w:jc w:val="center"/>
            </w:pPr>
            <w:r>
              <w:rPr>
                <w:b/>
                <w:bCs/>
                <w:sz w:val="18"/>
                <w:szCs w:val="18"/>
              </w:rPr>
              <w:t xml:space="preserve">03-jun</w:t>
            </w:r>
          </w:p>
        </w:tc>
        <w:tc>
          <w:tcPr>
            <w:tcW w:type="dxa" w:w="7400"/>
            <w:tcMar>
              <w:top w:type="dxa" w:w="60"/>
              <w:left w:type="dxa" w:w="80"/>
              <w:bottom w:type="dxa" w:w="60"/>
              <w:right w:type="dxa" w:w="80"/>
            </w:tcMar>
          </w:tcPr>
          <w:p>
            <w:pPr>
              <w:jc w:val="left"/>
            </w:pPr>
            <w:r>
              <w:rPr>
                <w:b w:val="false"/>
                <w:bCs w:val="false"/>
                <w:sz w:val="18"/>
                <w:szCs w:val="18"/>
              </w:rPr>
              <w:t xml:space="preserve">Pérdida de referencia de voltaje del bus; maniobras 13.2kV barra B→A afectan CPW03, CPW04, CPW05 simultáneamente.</w:t>
            </w:r>
          </w:p>
        </w:tc>
      </w:tr>
      <w:tr>
        <w:tc>
          <w:tcPr>
            <w:tcW w:type="dxa" w:w="1400"/>
            <w:tcMar>
              <w:top w:type="dxa" w:w="60"/>
              <w:left w:type="dxa" w:w="80"/>
              <w:bottom w:type="dxa" w:w="60"/>
              <w:right w:type="dxa" w:w="80"/>
            </w:tcMar>
          </w:tcPr>
          <w:p>
            <w:pPr>
              <w:jc w:val="center"/>
            </w:pPr>
            <w:r>
              <w:rPr>
                <w:b/>
                <w:bCs/>
                <w:sz w:val="18"/>
                <w:szCs w:val="18"/>
              </w:rPr>
              <w:t xml:space="preserve">12-jun</w:t>
            </w:r>
          </w:p>
        </w:tc>
        <w:tc>
          <w:tcPr>
            <w:tcW w:type="dxa" w:w="7400"/>
            <w:tcMar>
              <w:top w:type="dxa" w:w="60"/>
              <w:left w:type="dxa" w:w="80"/>
              <w:bottom w:type="dxa" w:w="60"/>
              <w:right w:type="dxa" w:w="80"/>
            </w:tcMar>
          </w:tcPr>
          <w:p>
            <w:pPr>
              <w:jc w:val="left"/>
            </w:pPr>
            <w:r>
              <w:rPr>
                <w:b w:val="false"/>
                <w:bCs w:val="false"/>
                <w:sz w:val="18"/>
                <w:szCs w:val="18"/>
              </w:rPr>
              <w:t xml:space="preserve">SD general por falla del SIN: afecta las 13 unidades de Costayaco y Vonu el mismo día.</w:t>
            </w:r>
          </w:p>
        </w:tc>
      </w:tr>
      <w:tr>
        <w:tc>
          <w:tcPr>
            <w:tcW w:type="dxa" w:w="1400"/>
            <w:tcMar>
              <w:top w:type="dxa" w:w="60"/>
              <w:left w:type="dxa" w:w="80"/>
              <w:bottom w:type="dxa" w:w="60"/>
              <w:right w:type="dxa" w:w="80"/>
            </w:tcMar>
          </w:tcPr>
          <w:p>
            <w:pPr>
              <w:jc w:val="center"/>
            </w:pPr>
            <w:r>
              <w:rPr>
                <w:b/>
                <w:bCs/>
                <w:sz w:val="18"/>
                <w:szCs w:val="18"/>
              </w:rPr>
              <w:t xml:space="preserve">15-jun</w:t>
            </w:r>
          </w:p>
        </w:tc>
        <w:tc>
          <w:tcPr>
            <w:tcW w:type="dxa" w:w="7400"/>
            <w:tcMar>
              <w:top w:type="dxa" w:w="60"/>
              <w:left w:type="dxa" w:w="80"/>
              <w:bottom w:type="dxa" w:w="60"/>
              <w:right w:type="dxa" w:w="80"/>
            </w:tcMar>
          </w:tcPr>
          <w:p>
            <w:pPr>
              <w:jc w:val="left"/>
            </w:pPr>
            <w:r>
              <w:rPr>
                <w:b w:val="false"/>
                <w:bCs w:val="false"/>
                <w:sz w:val="18"/>
                <w:szCs w:val="18"/>
              </w:rPr>
              <w:t xml:space="preserve">Segunda SD general de campo por falla del SIN: afecta las 15 unidades reportadas (incl. JIN11/JIN12).</w:t>
            </w:r>
          </w:p>
        </w:tc>
      </w:tr>
      <w:tr>
        <w:tc>
          <w:tcPr>
            <w:tcW w:type="dxa" w:w="1400"/>
            <w:tcMar>
              <w:top w:type="dxa" w:w="60"/>
              <w:left w:type="dxa" w:w="80"/>
              <w:bottom w:type="dxa" w:w="60"/>
              <w:right w:type="dxa" w:w="80"/>
            </w:tcMar>
          </w:tcPr>
          <w:p>
            <w:pPr>
              <w:jc w:val="center"/>
            </w:pPr>
            <w:r>
              <w:rPr>
                <w:b/>
                <w:bCs/>
                <w:sz w:val="18"/>
                <w:szCs w:val="18"/>
              </w:rPr>
              <w:t xml:space="preserve">24-jun</w:t>
            </w:r>
          </w:p>
        </w:tc>
        <w:tc>
          <w:tcPr>
            <w:tcW w:type="dxa" w:w="7400"/>
            <w:tcMar>
              <w:top w:type="dxa" w:w="60"/>
              <w:left w:type="dxa" w:w="80"/>
              <w:bottom w:type="dxa" w:w="60"/>
              <w:right w:type="dxa" w:w="80"/>
            </w:tcMar>
          </w:tcPr>
          <w:p>
            <w:pPr>
              <w:jc w:val="left"/>
            </w:pPr>
            <w:r>
              <w:rPr>
                <w:b w:val="false"/>
                <w:bCs w:val="false"/>
                <w:sz w:val="18"/>
                <w:szCs w:val="18"/>
              </w:rPr>
              <w:t xml:space="preserve">Disparo de reconectador línea 34.5kV Jauno–Piamonte + fuga de aceite sistema Quincy: afecta CPW01-07, JIN-02, JIN-10/11/12, diésel.</w:t>
            </w:r>
          </w:p>
        </w:tc>
      </w:tr>
      <w:tr>
        <w:tc>
          <w:tcPr>
            <w:tcW w:type="dxa" w:w="1400"/>
            <w:tcMar>
              <w:top w:type="dxa" w:w="60"/>
              <w:left w:type="dxa" w:w="80"/>
              <w:bottom w:type="dxa" w:w="60"/>
              <w:right w:type="dxa" w:w="80"/>
            </w:tcMar>
          </w:tcPr>
          <w:p>
            <w:pPr>
              <w:jc w:val="center"/>
            </w:pPr>
            <w:r>
              <w:rPr>
                <w:b/>
                <w:bCs/>
                <w:sz w:val="18"/>
                <w:szCs w:val="18"/>
              </w:rPr>
              <w:t xml:space="preserve">25-jun</w:t>
            </w:r>
          </w:p>
        </w:tc>
        <w:tc>
          <w:tcPr>
            <w:tcW w:type="dxa" w:w="7400"/>
            <w:tcMar>
              <w:top w:type="dxa" w:w="60"/>
              <w:left w:type="dxa" w:w="80"/>
              <w:bottom w:type="dxa" w:w="60"/>
              <w:right w:type="dxa" w:w="80"/>
            </w:tcMar>
          </w:tcPr>
          <w:p>
            <w:pPr>
              <w:jc w:val="left"/>
            </w:pPr>
            <w:r>
              <w:rPr>
                <w:b w:val="false"/>
                <w:bCs w:val="false"/>
                <w:sz w:val="18"/>
                <w:szCs w:val="18"/>
              </w:rPr>
              <w:t xml:space="preserve">Parada de la MRU por nivel alto de NGL en tanque: saca de línea CPW01, CPW02, CPW03, CPW07, CPW10, CPW11; respaldo con diésel G102J/G102K.</w:t>
            </w:r>
          </w:p>
        </w:tc>
      </w:tr>
      <w:tr>
        <w:tc>
          <w:tcPr>
            <w:tcW w:type="dxa" w:w="1400"/>
            <w:tcMar>
              <w:top w:type="dxa" w:w="60"/>
              <w:left w:type="dxa" w:w="80"/>
              <w:bottom w:type="dxa" w:w="60"/>
              <w:right w:type="dxa" w:w="80"/>
            </w:tcMar>
          </w:tcPr>
          <w:p>
            <w:pPr>
              <w:jc w:val="center"/>
            </w:pPr>
            <w:r>
              <w:rPr>
                <w:b/>
                <w:bCs/>
                <w:sz w:val="18"/>
                <w:szCs w:val="18"/>
              </w:rPr>
              <w:t xml:space="preserve">26-jun</w:t>
            </w:r>
          </w:p>
        </w:tc>
        <w:tc>
          <w:tcPr>
            <w:tcW w:type="dxa" w:w="7400"/>
            <w:tcMar>
              <w:top w:type="dxa" w:w="60"/>
              <w:left w:type="dxa" w:w="80"/>
              <w:bottom w:type="dxa" w:w="60"/>
              <w:right w:type="dxa" w:w="80"/>
            </w:tcMar>
          </w:tcPr>
          <w:p>
            <w:pPr>
              <w:jc w:val="left"/>
            </w:pPr>
            <w:r>
              <w:rPr>
                <w:b w:val="false"/>
                <w:bCs w:val="false"/>
                <w:sz w:val="18"/>
                <w:szCs w:val="18"/>
              </w:rPr>
              <w:t xml:space="preserve">FDL por disparo de C9 y reconectador RX por sobrecorriente: afecta CPW01-07 y JIN-10/12.</w:t>
            </w:r>
          </w:p>
        </w:tc>
      </w:tr>
    </w:tbl>
    <w:p>
      <w:pPr>
        <w:spacing w:after="120"/>
      </w:pPr>
      <w:r>
        <w:t xml:space="preserve"> </w:t>
      </w:r>
    </w:p>
    <w:p>
      <w:pPr>
        <w:spacing w:after="120"/>
      </w:pPr>
      <w:r>
        <w:rPr>
          <w:i/>
          <w:iCs/>
        </w:rPr>
        <w:t xml:space="preserve">La concentración de estos eventos en un tercio de los días del mes explica gran parte de las horas 'PF cliente' registradas en el soporte y confirma que el riesgo de disponibilidad de PUTN no reside únicamente en el parque COPOWER, sino en la interacción con la MRU y con la red 34.5/13.2 kV del campo.</w:t>
      </w:r>
    </w:p>
    <w:p>
      <w:pPr>
        <w:pStyle w:val="Heading1"/>
        <w:spacing w:after="140" w:before="280"/>
      </w:pPr>
      <w:r>
        <w:t xml:space="preserve">7. Producción de energía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rPr>
          <w:tblHeader/>
        </w:trPr>
        <w:tc>
          <w:tcPr>
            <w:tcW w:type="dxa" w:w="3200"/>
            <w:shd w:fill="1F3864" w:val="clear"/>
            <w:tcMar>
              <w:top w:type="dxa" w:w="60"/>
              <w:left w:type="dxa" w:w="80"/>
              <w:bottom w:type="dxa" w:w="60"/>
              <w:right w:type="dxa" w:w="80"/>
            </w:tcMar>
          </w:tcPr>
          <w:p>
            <w:pPr>
              <w:jc w:val="left"/>
            </w:pPr>
            <w:r>
              <w:rPr>
                <w:b/>
                <w:bCs/>
                <w:color w:val="FFFFFF"/>
                <w:sz w:val="18"/>
                <w:szCs w:val="18"/>
              </w:rPr>
              <w:t xml:space="preserve">Fuente</w:t>
            </w:r>
          </w:p>
        </w:tc>
        <w:tc>
          <w:tcPr>
            <w:tcW w:type="dxa" w:w="2200"/>
            <w:shd w:fill="1F3864" w:val="clear"/>
            <w:tcMar>
              <w:top w:type="dxa" w:w="60"/>
              <w:left w:type="dxa" w:w="80"/>
              <w:bottom w:type="dxa" w:w="60"/>
              <w:right w:type="dxa" w:w="80"/>
            </w:tcMar>
          </w:tcPr>
          <w:p>
            <w:pPr>
              <w:jc w:val="left"/>
            </w:pPr>
            <w:r>
              <w:rPr>
                <w:b/>
                <w:bCs/>
                <w:color w:val="FFFFFF"/>
                <w:sz w:val="18"/>
                <w:szCs w:val="18"/>
              </w:rPr>
              <w:t xml:space="preserve">Energía (kWh)</w:t>
            </w:r>
          </w:p>
        </w:tc>
        <w:tc>
          <w:tcPr>
            <w:tcW w:type="dxa" w:w="2200"/>
            <w:shd w:fill="1F3864" w:val="clear"/>
            <w:tcMar>
              <w:top w:type="dxa" w:w="60"/>
              <w:left w:type="dxa" w:w="80"/>
              <w:bottom w:type="dxa" w:w="60"/>
              <w:right w:type="dxa" w:w="80"/>
            </w:tcMar>
          </w:tcPr>
          <w:p>
            <w:pPr>
              <w:jc w:val="left"/>
            </w:pPr>
            <w:r>
              <w:rPr>
                <w:b/>
                <w:bCs/>
                <w:color w:val="FFFFFF"/>
                <w:sz w:val="18"/>
                <w:szCs w:val="18"/>
              </w:rPr>
              <w:t xml:space="preserve">% del total</w:t>
            </w:r>
          </w:p>
        </w:tc>
        <w:tc>
          <w:tcPr>
            <w:tcW w:type="dxa" w:w="2400"/>
            <w:shd w:fill="1F3864" w:val="clear"/>
            <w:tcMar>
              <w:top w:type="dxa" w:w="60"/>
              <w:left w:type="dxa" w:w="80"/>
              <w:bottom w:type="dxa" w:w="60"/>
              <w:right w:type="dxa" w:w="80"/>
            </w:tcMar>
          </w:tcPr>
          <w:p>
            <w:pPr>
              <w:jc w:val="left"/>
            </w:pPr>
            <w:r>
              <w:rPr>
                <w:b/>
                <w:bCs/>
                <w:color w:val="FFFFFF"/>
                <w:sz w:val="18"/>
                <w:szCs w:val="18"/>
              </w:rPr>
              <w:t xml:space="preserve">Observación</w:t>
            </w:r>
          </w:p>
        </w:tc>
      </w:tr>
      <w:tr>
        <w:tc>
          <w:tcPr>
            <w:tcW w:type="dxa" w:w="3200"/>
            <w:tcMar>
              <w:top w:type="dxa" w:w="60"/>
              <w:left w:type="dxa" w:w="80"/>
              <w:bottom w:type="dxa" w:w="60"/>
              <w:right w:type="dxa" w:w="80"/>
            </w:tcMar>
          </w:tcPr>
          <w:p>
            <w:pPr>
              <w:jc w:val="left"/>
            </w:pPr>
            <w:r>
              <w:rPr>
                <w:b w:val="false"/>
                <w:bCs w:val="false"/>
                <w:sz w:val="18"/>
                <w:szCs w:val="18"/>
              </w:rPr>
              <w:t xml:space="preserve">Costayaco - gas (incl. JIN11/JIN12)</w:t>
            </w:r>
          </w:p>
        </w:tc>
        <w:tc>
          <w:tcPr>
            <w:tcW w:type="dxa" w:w="2200"/>
            <w:tcMar>
              <w:top w:type="dxa" w:w="60"/>
              <w:left w:type="dxa" w:w="80"/>
              <w:bottom w:type="dxa" w:w="60"/>
              <w:right w:type="dxa" w:w="80"/>
            </w:tcMar>
          </w:tcPr>
          <w:p>
            <w:pPr>
              <w:jc w:val="center"/>
            </w:pPr>
            <w:r>
              <w:rPr>
                <w:b w:val="false"/>
                <w:bCs w:val="false"/>
                <w:sz w:val="18"/>
                <w:szCs w:val="18"/>
              </w:rPr>
              <w:t xml:space="preserve">3,499,840</w:t>
            </w:r>
          </w:p>
        </w:tc>
        <w:tc>
          <w:tcPr>
            <w:tcW w:type="dxa" w:w="2200"/>
            <w:tcMar>
              <w:top w:type="dxa" w:w="60"/>
              <w:left w:type="dxa" w:w="80"/>
              <w:bottom w:type="dxa" w:w="60"/>
              <w:right w:type="dxa" w:w="80"/>
            </w:tcMar>
          </w:tcPr>
          <w:p>
            <w:pPr>
              <w:jc w:val="center"/>
            </w:pPr>
            <w:r>
              <w:rPr>
                <w:b w:val="false"/>
                <w:bCs w:val="false"/>
                <w:sz w:val="18"/>
                <w:szCs w:val="18"/>
              </w:rPr>
              <w:t xml:space="preserve">85.15%</w:t>
            </w:r>
          </w:p>
        </w:tc>
        <w:tc>
          <w:tcPr>
            <w:tcW w:type="dxa" w:w="2400"/>
            <w:tcMar>
              <w:top w:type="dxa" w:w="60"/>
              <w:left w:type="dxa" w:w="80"/>
              <w:bottom w:type="dxa" w:w="60"/>
              <w:right w:type="dxa" w:w="80"/>
            </w:tcMar>
          </w:tcPr>
          <w:p>
            <w:pPr>
              <w:jc w:val="left"/>
            </w:pPr>
            <w:r>
              <w:rPr>
                <w:b w:val="false"/>
                <w:bCs w:val="false"/>
                <w:sz w:val="18"/>
                <w:szCs w:val="18"/>
              </w:rPr>
              <w:t xml:space="preserve">Base productiva principal</w:t>
            </w:r>
          </w:p>
        </w:tc>
      </w:tr>
      <w:tr>
        <w:tc>
          <w:tcPr>
            <w:tcW w:type="dxa" w:w="3200"/>
            <w:tcMar>
              <w:top w:type="dxa" w:w="60"/>
              <w:left w:type="dxa" w:w="80"/>
              <w:bottom w:type="dxa" w:w="60"/>
              <w:right w:type="dxa" w:w="80"/>
            </w:tcMar>
          </w:tcPr>
          <w:p>
            <w:pPr>
              <w:jc w:val="left"/>
            </w:pPr>
            <w:r>
              <w:rPr>
                <w:b w:val="false"/>
                <w:bCs w:val="false"/>
                <w:sz w:val="18"/>
                <w:szCs w:val="18"/>
              </w:rPr>
              <w:t xml:space="preserve">Costayaco - diésel (respaldo)</w:t>
            </w:r>
          </w:p>
        </w:tc>
        <w:tc>
          <w:tcPr>
            <w:tcW w:type="dxa" w:w="2200"/>
            <w:tcMar>
              <w:top w:type="dxa" w:w="60"/>
              <w:left w:type="dxa" w:w="80"/>
              <w:bottom w:type="dxa" w:w="60"/>
              <w:right w:type="dxa" w:w="80"/>
            </w:tcMar>
          </w:tcPr>
          <w:p>
            <w:pPr>
              <w:jc w:val="center"/>
            </w:pPr>
            <w:r>
              <w:rPr>
                <w:b w:val="false"/>
                <w:bCs w:val="false"/>
                <w:sz w:val="18"/>
                <w:szCs w:val="18"/>
              </w:rPr>
              <w:t xml:space="preserve">119,716</w:t>
            </w:r>
          </w:p>
        </w:tc>
        <w:tc>
          <w:tcPr>
            <w:tcW w:type="dxa" w:w="2200"/>
            <w:tcMar>
              <w:top w:type="dxa" w:w="60"/>
              <w:left w:type="dxa" w:w="80"/>
              <w:bottom w:type="dxa" w:w="60"/>
              <w:right w:type="dxa" w:w="80"/>
            </w:tcMar>
          </w:tcPr>
          <w:p>
            <w:pPr>
              <w:jc w:val="center"/>
            </w:pPr>
            <w:r>
              <w:rPr>
                <w:b w:val="false"/>
                <w:bCs w:val="false"/>
                <w:sz w:val="18"/>
                <w:szCs w:val="18"/>
              </w:rPr>
              <w:t xml:space="preserve">2.91%</w:t>
            </w:r>
          </w:p>
        </w:tc>
        <w:tc>
          <w:tcPr>
            <w:tcW w:type="dxa" w:w="2400"/>
            <w:tcMar>
              <w:top w:type="dxa" w:w="60"/>
              <w:left w:type="dxa" w:w="80"/>
              <w:bottom w:type="dxa" w:w="60"/>
              <w:right w:type="dxa" w:w="80"/>
            </w:tcMar>
          </w:tcPr>
          <w:p>
            <w:pPr>
              <w:jc w:val="left"/>
            </w:pPr>
            <w:r>
              <w:rPr>
                <w:b w:val="false"/>
                <w:bCs w:val="false"/>
                <w:sz w:val="18"/>
                <w:szCs w:val="18"/>
              </w:rPr>
              <w:t xml:space="preserve">Respaldo ante indisponibilidad/maniobras</w:t>
            </w:r>
          </w:p>
        </w:tc>
      </w:tr>
      <w:tr>
        <w:tc>
          <w:tcPr>
            <w:tcW w:type="dxa" w:w="3200"/>
            <w:tcMar>
              <w:top w:type="dxa" w:w="60"/>
              <w:left w:type="dxa" w:w="80"/>
              <w:bottom w:type="dxa" w:w="60"/>
              <w:right w:type="dxa" w:w="80"/>
            </w:tcMar>
          </w:tcPr>
          <w:p>
            <w:pPr>
              <w:jc w:val="left"/>
            </w:pPr>
            <w:r>
              <w:rPr>
                <w:b w:val="false"/>
                <w:bCs w:val="false"/>
                <w:sz w:val="18"/>
                <w:szCs w:val="18"/>
              </w:rPr>
              <w:t xml:space="preserve">Vonu (JIN-01/JIN-02)</w:t>
            </w:r>
          </w:p>
        </w:tc>
        <w:tc>
          <w:tcPr>
            <w:tcW w:type="dxa" w:w="2200"/>
            <w:tcMar>
              <w:top w:type="dxa" w:w="60"/>
              <w:left w:type="dxa" w:w="80"/>
              <w:bottom w:type="dxa" w:w="60"/>
              <w:right w:type="dxa" w:w="80"/>
            </w:tcMar>
          </w:tcPr>
          <w:p>
            <w:pPr>
              <w:jc w:val="center"/>
            </w:pPr>
            <w:r>
              <w:rPr>
                <w:b w:val="false"/>
                <w:bCs w:val="false"/>
                <w:sz w:val="18"/>
                <w:szCs w:val="18"/>
              </w:rPr>
              <w:t xml:space="preserve">490,588</w:t>
            </w:r>
          </w:p>
        </w:tc>
        <w:tc>
          <w:tcPr>
            <w:tcW w:type="dxa" w:w="2200"/>
            <w:tcMar>
              <w:top w:type="dxa" w:w="60"/>
              <w:left w:type="dxa" w:w="80"/>
              <w:bottom w:type="dxa" w:w="60"/>
              <w:right w:type="dxa" w:w="80"/>
            </w:tcMar>
          </w:tcPr>
          <w:p>
            <w:pPr>
              <w:jc w:val="center"/>
            </w:pPr>
            <w:r>
              <w:rPr>
                <w:b w:val="false"/>
                <w:bCs w:val="false"/>
                <w:sz w:val="18"/>
                <w:szCs w:val="18"/>
              </w:rPr>
              <w:t xml:space="preserve">11.94%</w:t>
            </w:r>
          </w:p>
        </w:tc>
        <w:tc>
          <w:tcPr>
            <w:tcW w:type="dxa" w:w="2400"/>
            <w:tcMar>
              <w:top w:type="dxa" w:w="60"/>
              <w:left w:type="dxa" w:w="80"/>
              <w:bottom w:type="dxa" w:w="60"/>
              <w:right w:type="dxa" w:w="80"/>
            </w:tcMar>
          </w:tcPr>
          <w:p>
            <w:pPr>
              <w:jc w:val="left"/>
            </w:pPr>
            <w:r>
              <w:rPr>
                <w:b w:val="false"/>
                <w:bCs w:val="false"/>
                <w:sz w:val="18"/>
                <w:szCs w:val="18"/>
              </w:rPr>
              <w:t xml:space="preserve">100% disponibilidad y confiabilidad</w:t>
            </w:r>
          </w:p>
        </w:tc>
      </w:tr>
      <w:tr>
        <w:tc>
          <w:tcPr>
            <w:tcW w:type="dxa" w:w="3200"/>
            <w:shd w:fill="D9E2F3" w:val="clear"/>
            <w:tcMar>
              <w:top w:type="dxa" w:w="60"/>
              <w:left w:type="dxa" w:w="80"/>
              <w:bottom w:type="dxa" w:w="60"/>
              <w:right w:type="dxa" w:w="80"/>
            </w:tcMar>
          </w:tcPr>
          <w:p>
            <w:pPr>
              <w:jc w:val="left"/>
            </w:pPr>
            <w:r>
              <w:rPr>
                <w:b/>
                <w:bCs/>
                <w:sz w:val="18"/>
                <w:szCs w:val="18"/>
              </w:rPr>
              <w:t xml:space="preserve">Total generación PUTN junio 2026</w:t>
            </w:r>
          </w:p>
        </w:tc>
        <w:tc>
          <w:tcPr>
            <w:tcW w:type="dxa" w:w="2200"/>
            <w:shd w:fill="D9E2F3" w:val="clear"/>
            <w:tcMar>
              <w:top w:type="dxa" w:w="60"/>
              <w:left w:type="dxa" w:w="80"/>
              <w:bottom w:type="dxa" w:w="60"/>
              <w:right w:type="dxa" w:w="80"/>
            </w:tcMar>
          </w:tcPr>
          <w:p>
            <w:pPr>
              <w:jc w:val="center"/>
            </w:pPr>
            <w:r>
              <w:rPr>
                <w:b/>
                <w:bCs/>
                <w:sz w:val="18"/>
                <w:szCs w:val="18"/>
              </w:rPr>
              <w:t xml:space="preserve">4,110,144</w:t>
            </w:r>
          </w:p>
        </w:tc>
        <w:tc>
          <w:tcPr>
            <w:tcW w:type="dxa" w:w="2200"/>
            <w:shd w:fill="D9E2F3" w:val="clear"/>
            <w:tcMar>
              <w:top w:type="dxa" w:w="60"/>
              <w:left w:type="dxa" w:w="80"/>
              <w:bottom w:type="dxa" w:w="60"/>
              <w:right w:type="dxa" w:w="80"/>
            </w:tcMar>
          </w:tcPr>
          <w:p>
            <w:pPr>
              <w:jc w:val="center"/>
            </w:pPr>
            <w:r>
              <w:rPr>
                <w:b/>
                <w:bCs/>
                <w:sz w:val="18"/>
                <w:szCs w:val="18"/>
              </w:rPr>
              <w:t xml:space="preserve">100.00%</w:t>
            </w:r>
          </w:p>
        </w:tc>
        <w:tc>
          <w:tcPr>
            <w:tcW w:type="dxa" w:w="2400"/>
            <w:shd w:fill="D9E2F3" w:val="clear"/>
            <w:tcMar>
              <w:top w:type="dxa" w:w="60"/>
              <w:left w:type="dxa" w:w="80"/>
              <w:bottom w:type="dxa" w:w="60"/>
              <w:right w:type="dxa" w:w="80"/>
            </w:tcMar>
          </w:tcPr>
          <w:p>
            <w:pPr>
              <w:jc w:val="left"/>
            </w:pPr>
            <w:r>
              <w:rPr>
                <w:b/>
                <w:bCs/>
                <w:sz w:val="18"/>
                <w:szCs w:val="18"/>
              </w:rPr>
              <w:t xml:space="preserve">Suma de Hoja2 (validado contra soporte)</w:t>
            </w:r>
          </w:p>
        </w:tc>
      </w:tr>
    </w:tbl>
    <w:p>
      <w:pPr>
        <w:spacing w:after="120"/>
      </w:pPr>
      <w:r>
        <w:t xml:space="preserve"> </w:t>
      </w:r>
    </w:p>
    <w:p>
      <w:pPr>
        <w:spacing w:after="120"/>
      </w:pPr>
      <w:r>
        <w:t xml:space="preserve">Costayaco aporta el 88.06% de la energía total (gas + diésel); Vonu el 11.94%. La generación diésel de respaldo (119,716 kWh, 2.91% del total) se activa principalmente en los eventos de causa común de los días 24, 25, 26 y 28 de junio, cuando se requiere sostener carga mientras se recupera el sistema de gas tratado (MRU/Quincy).</w:t>
      </w:r>
    </w:p>
    <w:p>
      <w:pPr>
        <w:pStyle w:val="Heading1"/>
        <w:spacing w:after="140" w:before="280"/>
      </w:pPr>
      <w:r>
        <w:t xml:space="preserve">8. Riesgo técnico y estado de estabilización</w:t>
      </w:r>
    </w:p>
    <w:p>
      <w:pPr>
        <w:pStyle w:val="ListParagraph"/>
        <w:numPr>
          <w:ilvl w:val="0"/>
          <w:numId w:val="1"/>
        </w:numPr>
        <w:spacing w:after="80"/>
      </w:pPr>
      <w:r>
        <w:t xml:space="preserve">Riesgo Técnico MEDIO: únicamente CPW06 (sistema Costayaco) y el propio Sistema N Costayaco a nivel consolidado.</w:t>
      </w:r>
    </w:p>
    <w:p>
      <w:pPr>
        <w:pStyle w:val="ListParagraph"/>
        <w:numPr>
          <w:ilvl w:val="0"/>
          <w:numId w:val="1"/>
        </w:numPr>
        <w:spacing w:after="80"/>
      </w:pPr>
      <w:r>
        <w:t xml:space="preserve">Riesgo Técnico BAJO: el resto de las 13 unidades evaluadas, incluido el Sistema N Vonu.</w:t>
      </w:r>
    </w:p>
    <w:p>
      <w:pPr>
        <w:pStyle w:val="ListParagraph"/>
        <w:numPr>
          <w:ilvl w:val="0"/>
          <w:numId w:val="1"/>
        </w:numPr>
        <w:spacing w:after="80"/>
      </w:pPr>
      <w:r>
        <w:t xml:space="preserve">JIN-11 y JIN-12: en etapa de estabilización, evaluadas sobre ventana de 19 días; ambas muestran múltiples salidas por baja presión de gas CYC y por maniobras de cambio de gas CYC↔MRU, sin llegar a clasificarse como fallas del equipo. Se recomienda mantener el seguimiento diferenciado hasta completar el ingreso formal a la base sistémica.</w:t>
      </w:r>
    </w:p>
    <w:p>
      <w:pPr>
        <w:pStyle w:val="Heading1"/>
        <w:spacing w:after="140" w:before="280"/>
      </w:pPr>
      <w:r>
        <w:t xml:space="preserve">9. Conclusiones</w:t>
      </w:r>
    </w:p>
    <w:p>
      <w:pPr>
        <w:pStyle w:val="ListParagraph"/>
        <w:numPr>
          <w:ilvl w:val="0"/>
          <w:numId w:val="1"/>
        </w:numPr>
        <w:spacing w:after="80"/>
      </w:pPr>
      <w:r>
        <w:t xml:space="preserve">Junio es un mes de cumplimiento y mejora real: ambos sistemas superan el umbral contractual, con Vonu en desempeño pleno y Costayaco recuperando disponibilidad y confiabilidad tras el foco de mayo (CPW04).</w:t>
      </w:r>
    </w:p>
    <w:p>
      <w:pPr>
        <w:pStyle w:val="ListParagraph"/>
        <w:numPr>
          <w:ilvl w:val="0"/>
          <w:numId w:val="1"/>
        </w:numPr>
        <w:spacing w:after="80"/>
      </w:pPr>
      <w:r>
        <w:t xml:space="preserve">La recurrencia sistémica de Costayaco no se resuelve, se traslada: de CPW04 a CPW06. Se requiere un análisis de causa raíz específico para CPW06 (3 eventos, MTBF 222 h) antes del cierre de julio.</w:t>
      </w:r>
    </w:p>
    <w:p>
      <w:pPr>
        <w:pStyle w:val="ListParagraph"/>
        <w:numPr>
          <w:ilvl w:val="0"/>
          <w:numId w:val="1"/>
        </w:numPr>
        <w:spacing w:after="80"/>
      </w:pPr>
      <w:r>
        <w:t xml:space="preserve">Un porcentaje relevante de las horas fuera de línea del parque no es atribuible al equipo de generación, sino a la MRU, al SIN y a la presión de gas de pozos — factores que deben gestionarse de forma conjunta con el operador de campo, no solo con el contratista de generación.</w:t>
      </w:r>
    </w:p>
    <w:p>
      <w:pPr>
        <w:pStyle w:val="ListParagraph"/>
        <w:numPr>
          <w:ilvl w:val="0"/>
          <w:numId w:val="1"/>
        </w:numPr>
        <w:spacing w:after="80"/>
      </w:pPr>
      <w:r>
        <w:t xml:space="preserve">La discrepancia puntual entre la bitácora (CPW04 y CPW05 con eventos el 23-jun) y el conteo oficial de fallas del dashboard amerita una validación del criterio de imputación de eventos de protección (apertura de totalizador 480V) frente a fallas propias del equipo.</w:t>
      </w:r>
    </w:p>
    <w:p>
      <w:pPr>
        <w:pStyle w:val="ListParagraph"/>
        <w:numPr>
          <w:ilvl w:val="0"/>
          <w:numId w:val="1"/>
        </w:numPr>
        <w:spacing w:after="80"/>
      </w:pPr>
      <w:r>
        <w:t xml:space="preserve">El respaldo diésel cumplió su función de continuidad energética durante los eventos de causa común, a costa de mayor consumo de combustible; su uso recurrente en la segunda quincena de junio (24, 25, 26, 28) debe monitorearse como indicador de costo operativo, no solo de disponibilidad.</w:t>
      </w:r>
    </w:p>
    <w:p>
      <w:pPr>
        <w:pStyle w:val="Heading1"/>
        <w:spacing w:after="140" w:before="280"/>
      </w:pPr>
      <w:r>
        <w:t xml:space="preserve">10. Recomendaciones</w:t>
      </w:r>
    </w:p>
    <w:p>
      <w:pPr>
        <w:pStyle w:val="ListParagraph"/>
        <w:numPr>
          <w:ilvl w:val="0"/>
          <w:numId w:val="1"/>
        </w:numPr>
        <w:spacing w:after="80"/>
      </w:pPr>
      <w:r>
        <w:t xml:space="preserve">Priorizar plan de acción específico para CPW06: análisis de causa raíz de las tres salidas de junio (intercooler/secuestrante, perturbación de red G56/G57, sobrecarga) para diferenciar modos de falla independientes de una causa común de operación o suministro.</w:t>
      </w:r>
    </w:p>
    <w:p>
      <w:pPr>
        <w:pStyle w:val="ListParagraph"/>
        <w:numPr>
          <w:ilvl w:val="0"/>
          <w:numId w:val="1"/>
        </w:numPr>
        <w:spacing w:after="80"/>
      </w:pPr>
      <w:r>
        <w:t xml:space="preserve">Mantener seguimiento reforzado sobre CPW04 durante al menos dos cierres adicionales antes de considerar estructuralmente resuelto el patrón de mayo, e incluir el evento de protección del 23-jun en el análisis de tendencia aunque no compute como falla.</w:t>
      </w:r>
    </w:p>
    <w:p>
      <w:pPr>
        <w:pStyle w:val="ListParagraph"/>
        <w:numPr>
          <w:ilvl w:val="0"/>
          <w:numId w:val="1"/>
        </w:numPr>
        <w:spacing w:after="80"/>
      </w:pPr>
      <w:r>
        <w:t xml:space="preserve">Formalizar un indicador conjunto de disponibilidad 'aguas arriba' (MRU + SIN + presión de gas CYC) dado que estas tres causas concentran más horas de indisponibilidad que las fallas propias del parque de generación.</w:t>
      </w:r>
    </w:p>
    <w:p>
      <w:pPr>
        <w:pStyle w:val="ListParagraph"/>
        <w:numPr>
          <w:ilvl w:val="0"/>
          <w:numId w:val="1"/>
        </w:numPr>
        <w:spacing w:after="80"/>
      </w:pPr>
      <w:r>
        <w:t xml:space="preserve">Completar la ventana de estabilización de JIN-11 y JIN-12 y definir el criterio formal de incorporación al Sistema N de Costayaco para los próximos cierres.</w:t>
      </w:r>
    </w:p>
    <w:p>
      <w:pPr>
        <w:pStyle w:val="ListParagraph"/>
        <w:numPr>
          <w:ilvl w:val="0"/>
          <w:numId w:val="1"/>
        </w:numPr>
        <w:spacing w:after="80"/>
      </w:pPr>
      <w:r>
        <w:t xml:space="preserve">Cuantificar el sobrecosto de combustible diésel asociado a los eventos de causa común de fin de mes para incorporarlo al análisis económico del esquema de generación.</w:t>
      </w:r>
    </w:p>
    <w:p>
      <w:pPr>
        <w:spacing w:before="400"/>
      </w:pPr>
      <w:r>
        <w:rPr>
          <w:i/>
          <w:iCs/>
          <w:color w:val="7F7F7F"/>
          <w:sz w:val="16"/>
          <w:szCs w:val="16"/>
        </w:rPr>
        <w:t xml:space="preserve">Fuentes: Análisis de Indicadores Copower PUTN JUN 2026.pdf (Elaborado por Carlos Alberto Villamizar Sosa, Ing. Senior Confiabilidad y Optimización Energética) y Data Soporte de Cálculo Copower PUTN Junio 2026.xlsx (429 registros diarios, Hoja1 y Hoja2).</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pPr>
    <w:rPr>
      <w:rFonts w:ascii="Calibri" w:cs="Calibri" w:eastAsia="Calibri" w:hAnsi="Calibri"/>
      <w:b/>
      <w:bCs/>
      <w:color w:val="1F3864"/>
      <w:sz w:val="28"/>
      <w:szCs w:val="28"/>
    </w:rPr>
  </w:style>
  <w:style w:type="paragraph" w:styleId="Heading2">
    <w:name w:val="Heading 2"/>
    <w:basedOn w:val="Normal"/>
    <w:next w:val="Normal"/>
    <w:qFormat/>
    <w:pPr>
      <w:spacing w:after="100" w:before="220"/>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2026-07-18T22:53:15.224Z</dcterms:created>
  <dcterms:modified xsi:type="dcterms:W3CDTF">2026-07-18T22:53:15.224Z</dcterms:modified>
</cp:coreProperties>
</file>

<file path=docProps/custom.xml><?xml version="1.0" encoding="utf-8"?>
<Properties xmlns="http://schemas.openxmlformats.org/officeDocument/2006/custom-properties" xmlns:vt="http://schemas.openxmlformats.org/officeDocument/2006/docPropsVTypes"/>
</file>