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 xml:space="preserve">RASCUNHO · Checkpoint 1 · ajustar ao template oficial da Jornada Científica da FIB</w:t>
      </w:r>
    </w:p>
    <w:p>
      <w:pPr>
        <w:spacing w:after="200"/>
        <w:jc w:val="center"/>
      </w:pPr>
      <w:r>
        <w:rPr>
          <w:b/>
          <w:bCs/>
        </w:rPr>
        <w:t xml:space="preserve">PREVISÃO DE BATALHAS POKÉMON COM MÁQUINAS DE VETORES DE SUPORTE: GENERALIZAÇÃO PARA PERSONAGENS NUNCA VISTOS</w:t>
      </w:r>
    </w:p>
    <w:p>
      <w:pPr>
        <w:spacing w:after="60"/>
        <w:jc w:val="center"/>
      </w:pPr>
      <w:r>
        <w:rPr>
          <w:highlight w:val="yellow"/>
        </w:rPr>
        <w:t xml:space="preserve">Alceu [sobrenome]; Anthony [sobrenome]; Gustavo [sobrenome]; Luan [sobrenome]; Lucas [sobrenome]</w:t>
      </w:r>
    </w:p>
    <w:p>
      <w:pPr>
        <w:spacing w:after="240"/>
        <w:jc w:val="center"/>
      </w:pPr>
      <w:r>
        <w:rPr>
          <w:sz w:val="20"/>
          <w:szCs w:val="20"/>
        </w:rPr>
        <w:t xml:space="preserve">Inteligência Artificial II · </w:t>
      </w:r>
      <w:r>
        <w:rPr>
          <w:highlight w:val="yellow"/>
        </w:rPr>
        <w:t xml:space="preserve">[curso] · FIB · Orientador(a): [nome do professor]</w:t>
      </w:r>
    </w:p>
    <w:p>
      <w:pPr>
        <w:pStyle w:val="Heading1"/>
        <w:spacing w:after="100" w:before="200"/>
      </w:pPr>
      <w:r>
        <w:rPr>
          <w:b/>
          <w:bCs/>
        </w:rPr>
        <w:t xml:space="preserve">INTRODUÇÃO</w:t>
      </w:r>
    </w:p>
    <w:p>
      <w:pPr>
        <w:spacing w:after="120" w:line="300"/>
        <w:ind w:firstLine="709"/>
        <w:jc w:val="both"/>
      </w:pPr>
      <w:r>
        <w:t xml:space="preserve">Jogos digitais são um campo tradicional de aplicação e teste de técnicas de Inteligência Artificial, por oferecerem ambientes com regras bem definidas e grande volume de dados (YANNAKAKIS; TOGELIUS, 2018). Em jogos de batalha, uma decisão recorrente do jogador é escolher um personagem sem saber se ele terá vantagem no confronto. A franquia Pokémon é um caso representativo: são mais de mil personagens, descritos por seis atributos numéricos (HP, Ataque, Defesa, Ataque Especial, Defesa Especial e Velocidade) e por até dois de 18 tipos, que geram vantagens, resistências e imunidades.</w:t>
      </w:r>
    </w:p>
    <w:p>
      <w:pPr>
        <w:spacing w:after="120" w:line="300"/>
        <w:ind w:firstLine="709"/>
        <w:jc w:val="both"/>
      </w:pPr>
      <w:r>
        <w:t xml:space="preserve">As Máquinas de Vetores de Suporte (SVM) são classificadores que buscam o hiperplano de máxima margem entre as classes (CORTES; VAPNIK, 1995). Com o uso de funções </w:t>
      </w:r>
      <w:r>
        <w:rPr>
          <w:i/>
          <w:iCs/>
        </w:rPr>
        <w:t xml:space="preserve">kernel</w:t>
      </w:r>
      <w:r>
        <w:t xml:space="preserve">, podem representar fronteiras de decisão não lineares (BOSER; GUYON; VAPNIK, 1992), o que é desejável quando o resultado depende da interação entre variáveis, como velocidade e vantagem de tipo em uma batalha.</w:t>
      </w:r>
    </w:p>
    <w:p>
      <w:pPr>
        <w:pStyle w:val="Heading1"/>
        <w:spacing w:after="100" w:before="200"/>
      </w:pPr>
      <w:r>
        <w:rPr>
          <w:b/>
          <w:bCs/>
        </w:rPr>
        <w:t xml:space="preserve">OBJETIVOS</w:t>
      </w:r>
    </w:p>
    <w:p>
      <w:pPr>
        <w:spacing w:after="120" w:line="300"/>
        <w:ind w:firstLine="709"/>
        <w:jc w:val="both"/>
      </w:pPr>
      <w:r>
        <w:t xml:space="preserve">Investigar se um classificador SVM, usando apenas atributos e tipos, consegue prever o favorito de batalhas 1 contra 1 entre Pokémon </w:t>
      </w:r>
      <w:r>
        <w:rPr>
          <w:b/>
          <w:bCs/>
        </w:rPr>
        <w:t xml:space="preserve">que não fizeram parte do treino</w:t>
      </w:r>
      <w:r>
        <w:t xml:space="preserve">, superando regras simples (“vence o mais rápido” e “vence o de maior soma de atributos”) e um modelo linear. Especificamente: (i) construir uma base de batalhas reprodutível cobrindo as nove gerações; (ii) identificar, por análise exploratória, os fatores que decidem os confrontos; (iii) comparar o SVM com baselines; e (iv) disponibilizar o modelo em uma aplicação web em que dois jogadores escolhem seus personagens.</w:t>
      </w:r>
    </w:p>
    <w:p>
      <w:pPr>
        <w:pStyle w:val="Heading1"/>
        <w:spacing w:after="100" w:before="200"/>
      </w:pPr>
      <w:r>
        <w:rPr>
          <w:b/>
          <w:bCs/>
        </w:rPr>
        <w:t xml:space="preserve">RELEVÂNCIA DO ESTUDO</w:t>
      </w:r>
    </w:p>
    <w:p>
      <w:pPr>
        <w:spacing w:after="120" w:line="300"/>
        <w:ind w:firstLine="709"/>
        <w:jc w:val="both"/>
      </w:pPr>
      <w:r>
        <w:t xml:space="preserve">O estudo exercita problemas centrais de aprendizado de máquina em um contexto acessível ao público: construção e documentação de dados, prevenção de vazamento de informação, comparação honesta com baselines e avaliação da generalização para exemplos novos. Avaliar o modelo em personagens nunca vistos reproduz uma situação real dos jogos, em que novos personagens são lançados periodicamente.</w:t>
      </w:r>
    </w:p>
    <w:p>
      <w:pPr>
        <w:pStyle w:val="Heading1"/>
        <w:spacing w:after="100" w:before="200"/>
      </w:pPr>
      <w:r>
        <w:rPr>
          <w:b/>
          <w:bCs/>
        </w:rPr>
        <w:t xml:space="preserve">MATERIAIS E MÉTODOS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Dados. </w:t>
      </w:r>
      <w:r>
        <w:t xml:space="preserve">Os atributos, tipos e gerações de 1.242 Pokémon jogáveis (gerações 1 a 9, incluindo formas alternativas como Mega e regionais) foram obtidos dos dados abertos do PokéAPI (licença BSD-3), após a remoção de 66 formas cosméticas e 43 formas repetidas. Como o principal conjunto público de batalhas cobre apenas seis gerações e foi gerado por um algoritmo não documentado, o grupo desenvolveu um simulador baseado na fórmula de dano dos jogos principais (nível 50, fator aleatório entre 0,85 e 1,00 e golpes críticos). Cada Pokémon luta com os golpes de dano que realmente aprende nos jogos, segundo o PokéAPI, considerando poder, tipo, precisão, prioridade, acertos múltiplos, dano de retorno, roubo de vida e queda de atributos, e escolhe a cada turno o golpe de maior dano esperado. Habilidades, itens, golpes de status e trocas não são simulados. Foram sorteados 40.000 confrontos, cada um simulado 21 vezes. A variável-alvo indica se o Pokémon A venceu a maioria das simulações, e as classes ficaram equilibradas (cerca de 50%).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Divisão sem vazamento. </w:t>
      </w:r>
      <w:r>
        <w:t xml:space="preserve">Para evitar que o mesmo personagem aparecesse no treino e no teste, situação que infla os resultados (KAUFMAN et al., 2012), o treino usa apenas batalhas entre Pokémon das gerações 1 a 6 (30.000 confrontos), e o teste, apenas batalhas entre Pokémon das gerações 7 a 9 (6.000 confrontos), sem nenhum personagem em comum.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Modelagem. </w:t>
      </w:r>
      <w:r>
        <w:t xml:space="preserve">As features são a diferença entre os seis atributos dos dois Pokémon e o multiplicador de eficácia de tipo do melhor golpe de cada lado (em escala log2). Os dados foram padronizados com média e desvio aprendidos apenas no treino (HSU; CHANG; LIN, 2003). O SVM com kernel RBF foi implementado com a biblioteca scikit-learn (PEDREGOSA et al., 2011) e comparado com quatro baselines: classe majoritária, “vence o mais rápido”, “vence o maior total de atributos” e Regressão Logística. As métricas são acurácia, F1 e área sob a curva ROC.</w:t>
      </w:r>
    </w:p>
    <w:p>
      <w:pPr>
        <w:pStyle w:val="Heading1"/>
        <w:spacing w:after="100" w:before="200"/>
      </w:pPr>
      <w:r>
        <w:rPr>
          <w:b/>
          <w:bCs/>
        </w:rPr>
        <w:t xml:space="preserve">RESULTADOS PRELIMINARES</w:t>
      </w:r>
    </w:p>
    <w:p>
      <w:pPr>
        <w:spacing w:after="80" w:line="300"/>
        <w:ind w:firstLine="709"/>
        <w:jc w:val="both"/>
      </w:pPr>
      <w:r>
        <w:t xml:space="preserve">A análise exploratória mostrou que a velocidade, isoladamente, decide apenas 70,2% dos confrontos, e a maior soma de atributos, 82,2%. A vantagem de tipo tem efeito forte: com a maior vantagem, o Pokémon A vence 82,5% das vezes e, com a maior desvantagem, 17,8%. O efeito não é absoluto porque o Pokémon em desvantagem frequentemente possui golpes de cobertura de outros tipos. A aleatoriedade tem peso limitado: 71,1% dos confrontos tiveram o mesmo vencedor nas 21 simulações e 5,7% foram equilibrados, o que impõe um teto ao acerto possível. A Tabela 1 apresenta os resultados no conjunto de teste.</w:t>
      </w:r>
    </w:p>
    <w:p>
      <w:pPr>
        <w:spacing w:after="60"/>
        <w:jc w:val="center"/>
      </w:pPr>
      <w:r>
        <w:rPr>
          <w:sz w:val="20"/>
          <w:szCs w:val="20"/>
        </w:rPr>
        <w:t xml:space="preserve">Tabela 1 – Desempenho no teste (6.000 batalhas entre Pokémon das gerações 7–9, não vistos no treino)</w:t>
      </w:r>
    </w:p>
    <w:tbl>
      <w:tblPr>
        <w:tblW w:type="dxa" w:w="8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700"/>
      </w:tblGrid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Acurácia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 majoritária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0,500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Vence o mais rápido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0,678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0,675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0,713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Vence o maior Total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0,806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0,802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0,898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0,856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0,853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0,936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SVM RBF (parâmetros padrão)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0,866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0,863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0,935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>Fonte: elaborado pelos autores.</w:t>
      </w:r>
    </w:p>
    <w:p>
      <w:pPr>
        <w:spacing w:after="120" w:line="300"/>
        <w:ind w:firstLine="709"/>
        <w:jc w:val="both"/>
      </w:pPr>
      <w:r>
        <w:t xml:space="preserve">O SVM obteve a maior acurácia (86,6%), superando com folga as regras simples, mas com vantagem pequena sobre a Regressão Logística (85,6%). Em uma versão anterior do simulador, com golpes genéricos de mesmo poder, o mesmo modelo atingia 92,1%: o realismo dos golpes tornou a previsão mais difícil, pois o modelo conhece apenas atributos e tipos, e não os golpes de cada personagem. Um exemplo é o confronto Pikachu contra Gyarados, previsto a favor do Gyarados, mas vencido pelo Pikachu com o golpe Volt Tackle. Como próximos passos, serão incluídas features derivadas dos golpes, comparados kernels, ajustados os hiperparâmetros C e gamma com validação cruzada agrupada por personagem e medido o efeito de uma divisão com vazamento.</w:t>
      </w:r>
    </w:p>
    <w:p>
      <w:pPr>
        <w:pStyle w:val="Heading1"/>
        <w:spacing w:after="100" w:before="200"/>
      </w:pPr>
      <w:r>
        <w:rPr>
          <w:b/>
          <w:bCs/>
        </w:rPr>
        <w:t xml:space="preserve">REFERÊNCIAS</w:t>
      </w:r>
    </w:p>
    <w:p>
      <w:pPr>
        <w:spacing w:after="100" w:line="240"/>
        <w:jc w:val="left"/>
      </w:pPr>
      <w:r>
        <w:t xml:space="preserve">BOSER, B. E.; GUYON, I. M.; VAPNIK, V. N. A training algorithm for optimal margin classifiers. </w:t>
      </w:r>
      <w:r>
        <w:rPr>
          <w:i/>
          <w:iCs/>
        </w:rPr>
        <w:t xml:space="preserve">In</w:t>
      </w:r>
      <w:r>
        <w:t xml:space="preserve">: WORKSHOP ON COMPUTATIONAL LEARNING THEORY, 5., 1992, Pittsburgh. </w:t>
      </w:r>
      <w:r>
        <w:rPr>
          <w:b/>
          <w:bCs/>
        </w:rPr>
        <w:t xml:space="preserve">Proceedings</w:t>
      </w:r>
      <w:r>
        <w:t xml:space="preserve"> [...]. New York: ACM, 1992. p. 144–152. DOI: 10.1145/130385.130401.</w:t>
      </w:r>
    </w:p>
    <w:p>
      <w:pPr>
        <w:spacing w:after="100" w:line="240"/>
        <w:jc w:val="left"/>
      </w:pPr>
      <w:r>
        <w:t xml:space="preserve">CORTES, C.; VAPNIK, V. Support-vector networks. </w:t>
      </w:r>
      <w:r>
        <w:rPr>
          <w:b/>
          <w:bCs/>
        </w:rPr>
        <w:t xml:space="preserve">Machine Learning</w:t>
      </w:r>
      <w:r>
        <w:t xml:space="preserve">, v. 20, n. 3, p. 273–297, 1995. DOI: 10.1007/BF00994018.</w:t>
      </w:r>
    </w:p>
    <w:p>
      <w:pPr>
        <w:spacing w:after="100" w:line="240"/>
        <w:jc w:val="left"/>
      </w:pPr>
      <w:r>
        <w:t xml:space="preserve">HSU, C.-W.; CHANG, C.-C.; LIN, C.-J. </w:t>
      </w:r>
      <w:r>
        <w:rPr>
          <w:b/>
          <w:bCs/>
        </w:rPr>
        <w:t xml:space="preserve">A practical guide to support vector classification</w:t>
      </w:r>
      <w:r>
        <w:t xml:space="preserve">. Taipei: National Taiwan University, 2003. Relatório técnico. Disponível em: https://www.csie.ntu.edu.tw/~cjlin/papers/guide/guide.pdf.</w:t>
      </w:r>
    </w:p>
    <w:p>
      <w:pPr>
        <w:spacing w:after="100" w:line="240"/>
        <w:jc w:val="left"/>
      </w:pPr>
      <w:r>
        <w:t xml:space="preserve">KAUFMAN, S.; ROSSET, S.; PERLICH, C.; STITELMAN, O. Leakage in data mining: formulation, detection, and avoidance. </w:t>
      </w:r>
      <w:r>
        <w:rPr>
          <w:b/>
          <w:bCs/>
        </w:rPr>
        <w:t xml:space="preserve">ACM Transactions on Knowledge Discovery from Data</w:t>
      </w:r>
      <w:r>
        <w:t xml:space="preserve">, v. 6, n. 4, p. 15:1–15:21, 2012. DOI: 10.1145/2382577.2382579.</w:t>
      </w:r>
    </w:p>
    <w:p>
      <w:pPr>
        <w:spacing w:after="100" w:line="240"/>
        <w:jc w:val="left"/>
      </w:pPr>
      <w:r>
        <w:t xml:space="preserve">PEDREGOSA, F. </w:t>
      </w:r>
      <w:r>
        <w:rPr>
          <w:i/>
          <w:iCs/>
        </w:rPr>
        <w:t xml:space="preserve">et al.</w:t>
      </w:r>
      <w:r>
        <w:t xml:space="preserve"> Scikit-learn: machine learning in Python. </w:t>
      </w:r>
      <w:r>
        <w:rPr>
          <w:b/>
          <w:bCs/>
        </w:rPr>
        <w:t xml:space="preserve">Journal of Machine Learning Research</w:t>
      </w:r>
      <w:r>
        <w:t xml:space="preserve">, v. 12, n. 85, p. 2825–2830, 2011. Disponível em: https://jmlr.org/papers/v12/pedregosa11a.html.</w:t>
      </w:r>
    </w:p>
    <w:p>
      <w:pPr>
        <w:spacing w:after="100" w:line="240"/>
        <w:jc w:val="left"/>
      </w:pPr>
      <w:r>
        <w:t xml:space="preserve">POKÉAPI. </w:t>
      </w:r>
      <w:r>
        <w:rPr>
          <w:b/>
          <w:bCs/>
        </w:rPr>
        <w:t xml:space="preserve">PokéAPI: the RESTful Pokémon API</w:t>
      </w:r>
      <w:r>
        <w:t xml:space="preserve">. GitHub, c2013–2023. Disponível em: https://github.com/PokeAPI/pokeapi. Acesso em: 20 out. 2026.</w:t>
      </w:r>
    </w:p>
    <w:p>
      <w:pPr>
        <w:spacing w:after="100" w:line="240"/>
        <w:jc w:val="left"/>
      </w:pPr>
      <w:r>
        <w:t xml:space="preserve">YANNAKAKIS, G. N.; TOGELIUS, J. </w:t>
      </w:r>
      <w:r>
        <w:rPr>
          <w:b/>
          <w:bCs/>
        </w:rPr>
        <w:t xml:space="preserve">Artificial intelligence and games</w:t>
      </w:r>
      <w:r>
        <w:t xml:space="preserve">. Cham: Springer, 2018. ISBN 978-3-319-63518-7.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2026-10-21T00:42:11.095Z</dcterms:created>
  <dcterms:modified xsi:type="dcterms:W3CDTF">2026-10-21T00:42:11.096Z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