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0B2545"/>
          <w:sz w:val="56"/>
          <w:szCs w:val="56"/>
        </w:rPr>
        <w:t xml:space="preserve">Relatório Final</w:t>
      </w:r>
    </w:p>
    <w:p>
      <w:pPr>
        <w:spacing w:after="0" w:before="80"/>
        <w:jc w:val="center"/>
      </w:pPr>
      <w:r>
        <w:rPr>
          <w:color w:val="028090"/>
          <w:sz w:val="32"/>
          <w:szCs w:val="32"/>
        </w:rPr>
        <w:t xml:space="preserve">Sistema de Gestão de Biblioteca Universitária</w:t>
      </w:r>
    </w:p>
    <w:p>
      <w:pPr>
        <w:spacing w:after="0" w:before="600"/>
        <w:jc w:val="center"/>
      </w:pPr>
      <w:r>
        <w:rPr>
          <w:color w:val="555555"/>
          <w:sz w:val="24"/>
          <w:szCs w:val="24"/>
        </w:rPr>
        <w:t xml:space="preserve">Dicionário de Dados e Reflexão da Equipe</w:t>
      </w:r>
    </w:p>
    <w:p>
      <w:pPr>
        <w:spacing w:after="0" w:before="1400"/>
        <w:jc w:val="center"/>
      </w:pPr>
      <w:r>
        <w:rPr>
          <w:sz w:val="22"/>
          <w:szCs w:val="22"/>
        </w:rPr>
        <w:t xml:space="preserve">PUC Minas · ICEI</w:t>
      </w:r>
    </w:p>
    <w:p>
      <w:pPr>
        <w:spacing w:before="60"/>
        <w:jc w:val="center"/>
      </w:pPr>
      <w:r>
        <w:rPr>
          <w:sz w:val="22"/>
          <w:szCs w:val="22"/>
        </w:rPr>
        <w:t xml:space="preserve">Banco de Dados — 2026/1 · Engenharia de Software (2º Período)</w:t>
      </w:r>
    </w:p>
    <w:p>
      <w:pPr>
        <w:spacing w:before="60"/>
        <w:jc w:val="center"/>
      </w:pPr>
      <w:r>
        <w:rPr>
          <w:sz w:val="22"/>
          <w:szCs w:val="22"/>
        </w:rPr>
        <w:t xml:space="preserve">Prof. Cristiano de Macedo Neto</w:t>
      </w:r>
    </w:p>
    <w:p>
      <w:pPr>
        <w:spacing w:before="60"/>
        <w:jc w:val="center"/>
      </w:pPr>
      <w:r>
        <w:rPr>
          <w:i/>
          <w:iCs/>
          <w:color w:val="555555"/>
          <w:sz w:val="22"/>
          <w:szCs w:val="22"/>
        </w:rPr>
        <w:t xml:space="preserve">Etapa 5 — Mostra de Projetos</w:t>
      </w:r>
    </w:p>
    <w:p>
      <w:r>
        <w:br w:type="page"/>
      </w:r>
    </w:p>
    <w:p>
      <w:pPr>
        <w:pStyle w:val="Heading1"/>
      </w:pPr>
      <w:r>
        <w:t xml:space="preserve">1. Dicionário de Dados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Esta seção descreve cada tabela do banco de dados, seus atributos, tipos, restrições de integridade e finalidade. O esquema está normalizado até a 3ª Forma Normal e organizado em quatro módulos: Usuário e Endereço, Acervo, Tombamento, e Empréstimo/Reserva/Multa.</w:t>
      </w:r>
    </w:p>
    <w:p>
      <w:pPr>
        <w:pStyle w:val="Heading2"/>
      </w:pPr>
      <w:r>
        <w:t xml:space="preserve">Módulo 1 — Usuário e Endereço</w:t>
      </w:r>
    </w:p>
    <w:p>
      <w:pPr>
        <w:pStyle w:val="Heading2"/>
      </w:pPr>
      <w:r>
        <w:t xml:space="preserve">ENDERECO</w:t>
      </w:r>
    </w:p>
    <w:p>
      <w:pPr>
        <w:spacing w:after="120" w:line="276"/>
        <w:jc w:val="left"/>
      </w:pPr>
      <w:r>
        <w:rPr>
          <w:i/>
          <w:iCs/>
          <w:color w:val="555555"/>
          <w:sz w:val="22"/>
          <w:szCs w:val="22"/>
        </w:rPr>
        <w:t xml:space="preserve">Armazena os endereços dos usuários da biblioteca.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2360"/>
        <w:gridCol w:w="360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Restrições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id_endereco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SERIAL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Identificador único do endereço (auto-incremento).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cep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CHAR(9)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 NULL, CHECK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CEP no formato 00000-000 (validado por regex).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logradouro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VARCHAR(120)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Nome da rua, avenida ou praça.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numero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VARCHAR(10)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Número do imóvel (texto, aceita s/n).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bairro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VARCHAR(60)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Bairro do endereço.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VARCHAR(60)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Cidade do endereço.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USUARIO</w:t>
      </w:r>
    </w:p>
    <w:p>
      <w:pPr>
        <w:spacing w:after="120" w:line="276"/>
        <w:jc w:val="left"/>
      </w:pPr>
      <w:r>
        <w:rPr>
          <w:i/>
          <w:iCs/>
          <w:color w:val="555555"/>
          <w:sz w:val="22"/>
          <w:szCs w:val="22"/>
        </w:rPr>
        <w:t xml:space="preserve">Registra os usuários (aluno, professor ou funcionário).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2360"/>
        <w:gridCol w:w="360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Restrições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id_usuario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SERIAL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Identificador único do usuário.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primeiro_nome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Primeiro nome.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sobrenome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VARCHAR(80)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Sobrenome.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cpf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CHAR(14)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CPF no formato 000.000.000-00.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VARCHAR(120)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E-mail institucional, único.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data_nascimento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 NULL, CHECK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Data de nascimento (deve ser no passado).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data_cadastro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 NULL, DEFAULT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Data de cadastro (padrão: data atual).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tipo_usuario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 NULL, CHECK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ALUNO, PROFESSOR ou FUNCIONARIO.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id_endereco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 NULL, FK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Endereço do usuário (→ ENDERECO).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TELEFONE_USUARIO</w:t>
      </w:r>
    </w:p>
    <w:p>
      <w:pPr>
        <w:spacing w:after="120" w:line="276"/>
        <w:jc w:val="left"/>
      </w:pPr>
      <w:r>
        <w:rPr>
          <w:i/>
          <w:iCs/>
          <w:color w:val="555555"/>
          <w:sz w:val="22"/>
          <w:szCs w:val="22"/>
        </w:rPr>
        <w:t xml:space="preserve">Atributo multivalorado: telefones de cada usuário (1:N).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2360"/>
        <w:gridCol w:w="360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Restrições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id_usuario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PK, FK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Usuário dono do telefone (→ USUARIO).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telefone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Número de telefone (compõe a chave primária).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2"/>
      </w:pPr>
      <w:r>
        <w:t xml:space="preserve">Módulo 2 — Acervo (especialização)</w:t>
      </w:r>
    </w:p>
    <w:p>
      <w:pPr>
        <w:spacing w:after="120" w:line="276"/>
        <w:jc w:val="left"/>
      </w:pPr>
      <w:r>
        <w:rPr>
          <w:i/>
          <w:iCs/>
          <w:color w:val="555555"/>
          <w:sz w:val="22"/>
          <w:szCs w:val="22"/>
        </w:rPr>
        <w:t xml:space="preserve">ACERVO é a superclasse; LIVRO, PERIODICO e EBOOK são especializações totais e disjuntas, ligadas por PK = FK (cada subclasse compartilha o id_acervo da superclasse).</w:t>
      </w:r>
    </w:p>
    <w:p>
      <w:pPr>
        <w:pStyle w:val="Heading2"/>
      </w:pPr>
      <w:r>
        <w:t xml:space="preserve">ACERVO</w:t>
      </w:r>
    </w:p>
    <w:p>
      <w:pPr>
        <w:spacing w:after="120" w:line="276"/>
        <w:jc w:val="left"/>
      </w:pPr>
      <w:r>
        <w:rPr>
          <w:i/>
          <w:iCs/>
          <w:color w:val="555555"/>
          <w:sz w:val="22"/>
          <w:szCs w:val="22"/>
        </w:rPr>
        <w:t xml:space="preserve">Superclasse com os atributos comuns de qualquer obra catalogada.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2360"/>
        <w:gridCol w:w="360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Restrições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id_acervo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Identificador único da obra.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titulo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VARCHAR(150)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Título da obra.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subtitulo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VARCHAR(150)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Subtítulo (opcional).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ano_publicacao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CHECK &gt; 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Ano de publicação.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idioma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Idioma da obra.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descricao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Descrição livre.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LIVRO</w:t>
      </w:r>
    </w:p>
    <w:p>
      <w:pPr>
        <w:spacing w:after="120" w:line="276"/>
        <w:jc w:val="left"/>
      </w:pPr>
      <w:r>
        <w:rPr>
          <w:i/>
          <w:iCs/>
          <w:color w:val="555555"/>
          <w:sz w:val="22"/>
          <w:szCs w:val="22"/>
        </w:rPr>
        <w:t xml:space="preserve">Subclasse de ACERVO para livros físicos.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2360"/>
        <w:gridCol w:w="360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Restrições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id_acervo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PK, FK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Herda o id da superclasse (→ ACERVO).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isbn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Código ISBN único.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numero_paginas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CHECK &gt; 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Quantidade de páginas.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edicao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Número da edição.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PERIODICO</w:t>
      </w:r>
    </w:p>
    <w:p>
      <w:pPr>
        <w:spacing w:after="120" w:line="276"/>
        <w:jc w:val="left"/>
      </w:pPr>
      <w:r>
        <w:rPr>
          <w:i/>
          <w:iCs/>
          <w:color w:val="555555"/>
          <w:sz w:val="22"/>
          <w:szCs w:val="22"/>
        </w:rPr>
        <w:t xml:space="preserve">Subclasse de ACERVO para revistas e periódicos.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2360"/>
        <w:gridCol w:w="360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Restrições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id_acervo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PK, FK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Herda o id da superclasse (→ ACERVO).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issn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VARCHAR(10)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Código ISSN único.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volume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CHECK &gt; 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Volume da publicação.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numero_edicao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CHECK &gt; 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Número da edição.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periodicidade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Ex.: Mensal, Trimestral.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EBOOK</w:t>
      </w:r>
    </w:p>
    <w:p>
      <w:pPr>
        <w:spacing w:after="120" w:line="276"/>
        <w:jc w:val="left"/>
      </w:pPr>
      <w:r>
        <w:rPr>
          <w:i/>
          <w:iCs/>
          <w:color w:val="555555"/>
          <w:sz w:val="22"/>
          <w:szCs w:val="22"/>
        </w:rPr>
        <w:t xml:space="preserve">Subclasse de ACERVO para materiais digitais.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2360"/>
        <w:gridCol w:w="360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Restrições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id_acervo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PK, FK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Herda o id da superclasse (→ ACERVO).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formato_arquivo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Ex.: PDF, EPUB.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tamanho_arquivo_mb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DECIMAL(6,2)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CHECK &gt; 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Tamanho do arquivo em MB.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url_acesso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URL de acesso ao material.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licenca_digital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Tipo de licença (Aberta, Restrita...).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2"/>
      </w:pPr>
      <w:r>
        <w:t xml:space="preserve">Módulo 3 — Tombamento</w:t>
      </w:r>
    </w:p>
    <w:p>
      <w:pPr>
        <w:pStyle w:val="Heading2"/>
      </w:pPr>
      <w:r>
        <w:t xml:space="preserve">LOCALIZACAO_FISICA</w:t>
      </w:r>
    </w:p>
    <w:p>
      <w:pPr>
        <w:spacing w:after="120" w:line="276"/>
        <w:jc w:val="left"/>
      </w:pPr>
      <w:r>
        <w:rPr>
          <w:i/>
          <w:iCs/>
          <w:color w:val="555555"/>
          <w:sz w:val="22"/>
          <w:szCs w:val="22"/>
        </w:rPr>
        <w:t xml:space="preserve">Onde os exemplares ficam fisicamente.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2360"/>
        <w:gridCol w:w="360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Restrições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id_localizacao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Código da localização (ex.: SALA101-A).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endereco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Descrição do local.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andar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CHECK &gt;= 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Andar (0 = térreo/depósito).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estante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VARCHAR(30)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Identificação da estante.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EXEMPLAR</w:t>
      </w:r>
    </w:p>
    <w:p>
      <w:pPr>
        <w:spacing w:after="120" w:line="276"/>
        <w:jc w:val="left"/>
      </w:pPr>
      <w:r>
        <w:rPr>
          <w:i/>
          <w:iCs/>
          <w:color w:val="555555"/>
          <w:sz w:val="22"/>
          <w:szCs w:val="22"/>
        </w:rPr>
        <w:t xml:space="preserve">Cópia física de uma obra do acervo, identificada por tombo.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2360"/>
        <w:gridCol w:w="360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Restrições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id_tombo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Número de tombo (identificador físico).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tipo_aquisicao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VARCHAR(30)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Ex.: Compra, Doação.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data_aquisicao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Data de aquisição.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valor_compra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DEFAULT 0, CHECK &gt;= 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Valor pago pelo exemplar.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DEFAULT, CHECK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DISPONIVEL, EMPRESTADO, DANIFICADO ou RESERVADO.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conservacao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VARCHAR(30)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Estado de conservação.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id_localizacao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 NULL, FK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Localização física (→ LOCALIZACAO_FISICA).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id_acervo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 NULL, FK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Obra que o exemplar representa (→ ACERVO).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Módulo 4 — Empréstimo, Reserva e Multa</w:t>
      </w:r>
    </w:p>
    <w:p>
      <w:pPr>
        <w:pStyle w:val="Heading2"/>
      </w:pPr>
      <w:r>
        <w:t xml:space="preserve">EMPRESTIMO</w:t>
      </w:r>
    </w:p>
    <w:p>
      <w:pPr>
        <w:spacing w:after="120" w:line="276"/>
        <w:jc w:val="left"/>
      </w:pPr>
      <w:r>
        <w:rPr>
          <w:i/>
          <w:iCs/>
          <w:color w:val="555555"/>
          <w:sz w:val="22"/>
          <w:szCs w:val="22"/>
        </w:rPr>
        <w:t xml:space="preserve">Empréstimo de um exemplar a um usuário.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2360"/>
        <w:gridCol w:w="360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Restrições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id_emprestimo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SERIAL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Identificador do empréstimo.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id_usuario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 NULL, FK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Usuário que pegou o material (→ USUARIO).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id_tombo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 NULL, FK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Exemplar emprestado (→ EXEMPLAR).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 NULL, CHECK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ativo, devolvido ou atrasado.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data_inicio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Data de retirada.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data_retorno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CHECK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Data de devolução (&gt;= data_inicio ou nula).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data_fim_previsto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Prazo previsto para devolução.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RESERVA</w:t>
      </w:r>
    </w:p>
    <w:p>
      <w:pPr>
        <w:spacing w:after="120" w:line="276"/>
        <w:jc w:val="left"/>
      </w:pPr>
      <w:r>
        <w:rPr>
          <w:i/>
          <w:iCs/>
          <w:color w:val="555555"/>
          <w:sz w:val="22"/>
          <w:szCs w:val="22"/>
        </w:rPr>
        <w:t xml:space="preserve">Reserva de um exemplar (fila de espera).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2360"/>
        <w:gridCol w:w="360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Restrições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id_reserva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SERIAL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Identificador da reserva.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id_usuario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 NULL, FK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Usuário que reservou (→ USUARIO).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id_tombo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 NULL, FK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Exemplar reservado (→ EXEMPLAR).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data_reserva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Data em que a reserva foi feita.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data_validade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 NULL, CHECK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Validade (&gt;= data_reserva).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 NULL, CHECK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ATIVA, FINALIZADA ou CANCELADA.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MOTIVO_MULTA</w:t>
      </w:r>
    </w:p>
    <w:p>
      <w:pPr>
        <w:spacing w:after="120" w:line="276"/>
        <w:jc w:val="left"/>
      </w:pPr>
      <w:r>
        <w:rPr>
          <w:i/>
          <w:iCs/>
          <w:color w:val="555555"/>
          <w:sz w:val="22"/>
          <w:szCs w:val="22"/>
        </w:rPr>
        <w:t xml:space="preserve">Tabela de domínio dos motivos de multa.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2360"/>
        <w:gridCol w:w="360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Restrições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id_motivo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Identificador do motivo.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descricao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Descrição do motivo (ex.: Atraso na Devolução).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MULTA</w:t>
      </w:r>
    </w:p>
    <w:p>
      <w:pPr>
        <w:spacing w:after="120" w:line="276"/>
        <w:jc w:val="left"/>
      </w:pPr>
      <w:r>
        <w:rPr>
          <w:i/>
          <w:iCs/>
          <w:color w:val="555555"/>
          <w:sz w:val="22"/>
          <w:szCs w:val="22"/>
        </w:rPr>
        <w:t xml:space="preserve">Multa associada a um empréstimo e a um motivo.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2360"/>
        <w:gridCol w:w="360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Restrições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id_multa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SERIAL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Identificador da multa.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id_emprestimo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 NULL, FK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Empréstimo que gerou a multa (→ EMPRESTIMO).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id_motivo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 NULL, FK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Motivo da multa (→ MOTIVO_MULTA).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valor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Valor da multa.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data_geracao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Data de geração.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data_pagamento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Data do pagamento (nula se em aberto).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dias_atraso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Dias de atraso que originaram a multa.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PENDENTE ou PAGA.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2. Reflexão da Equipe</w:t>
      </w:r>
    </w:p>
    <w:p>
      <w:pPr>
        <w:pStyle w:val="Heading2"/>
      </w:pPr>
      <w:r>
        <w:t xml:space="preserve">2.1 Sobre modelagem de dados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O maior aprendizado de modelagem foi tratar a especialização do acervo. Inicialmente pensamos em uma única tabela com todos os campos de livro, periódico e e-book juntos, o que geraria muitos valores nulos e violaria a normalização. Optamos por uma superclasse ACERVO com três subclasses ligadas por PK = FK, garantindo que cada tipo de material guarde apenas os atributos que lhe são próprios (ISBN para livro, ISSN para periódico, formato e licença para e-book). Essa decisão deixou o modelo mais limpo, mas exigiu cuidado nas consultas, que passaram a depender de LEFT JOINs e de uma expressão CASE para identificar o tipo de cada obra.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Outro ponto difícil foi separar a obra (ACERVO) do exemplar físico (EXEMPLAR). Levou um tempo até entendermos que a biblioteca pode ter vários exemplares do mesmo título, cada um com seu tombo, status e localização. Essa distinção foi essencial para modelar corretamente empréstimos e reservas, que ocorrem sobre o exemplar e não sobre o título. O atributo multivalorado de telefone também rendeu discussão: resolvido com uma tabela própria e chave primária composta, evitando repetição de colunas.</w:t>
      </w:r>
    </w:p>
    <w:p>
      <w:pPr>
        <w:pStyle w:val="Heading2"/>
      </w:pPr>
      <w:r>
        <w:t xml:space="preserve">2.2 Sobre SQL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Na parte de SQL, percebemos a diferença entre escrever uma consulta que funciona e uma consulta bem pensada. As 10 consultas nos obrigaram a praticar desde projeções simples até subconsultas com EXISTS e agregações com HAVING. Aprendemos na prática o papel das restrições de integridade: o ON DELETE RESTRICT impediu exclusões que quebrariam o banco, e os CHECKs barraram dados inválidos já na inserção. Também entendemos o valor das views para encapsular JOINs repetidos e dos índices para acelerar buscas, equilibrando ganho de leitura contra o custo de manter o índice atualizado a cada escrita.</w:t>
      </w:r>
    </w:p>
    <w:p>
      <w:pPr>
        <w:pStyle w:val="Heading2"/>
      </w:pPr>
      <w:r>
        <w:t xml:space="preserve">2.3 Sobre trabalho colaborativo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No trabalho em equipe, o uso do Git foi determinante para organizar as contribuições e versionar o DER e os scripts ao longo das etapas. Dividimos o modelo em módulos, o que permitiu trabalhar em paralelo, mas também nos ensinou a importância de combinar padrões de nomenclatura e ordem de criação das tabelas antes de começar, para evitar conflitos. As defesas anteriores foram valiosas: várias correções de modelagem surgiram do retorno do professor e da turma, e incorporá-las melhorou a consistência final do projeto.</w:t>
      </w:r>
    </w:p>
    <w:p>
      <w:pPr>
        <w:pStyle w:val="Heading2"/>
      </w:pPr>
      <w:r>
        <w:t xml:space="preserve">2.4 O que faríamos diferente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2"/>
          <w:szCs w:val="22"/>
        </w:rPr>
        <w:t xml:space="preserve">Definir o dicionário de dados e os padrões de nomenclatura logo no início, e não ao final, para reduzir retrabalho.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2"/>
          <w:szCs w:val="22"/>
        </w:rPr>
        <w:t xml:space="preserve">Criar a carga de dados de teste mais cedo, pois ela revelou cedo problemas que o DDL sozinho não mostrava.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2"/>
          <w:szCs w:val="22"/>
        </w:rPr>
        <w:t xml:space="preserve">Escrever as consultas em paralelo à modelagem, usando-as para validar se o esquema realmente respondia às perguntas de negócio.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2"/>
          <w:szCs w:val="22"/>
        </w:rPr>
        <w:t xml:space="preserve">Automatizar a execução do script (um arquivo único com DROP no início), o que facilitou testar e demonstrar o banco repetidamente.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De modo geral, o projeto consolidou a ponte entre teoria e prática: partimos de um problema real — gerir o acervo e os empréstimos de uma biblioteca universitária — e chegamos a um banco normalizado, íntegro e consultável, compreendendo por que cada decisão de modelagem importa para o resultado final.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Biblioteca Universitária · Etapa 5 · </w:t>
    </w:r>
    <w:r>
      <w:rPr>
        <w:color w:val="555555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0B254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280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Final - Biblioteca</dc:title>
  <dc:creator>Equipe E5</dc:creator>
  <cp:lastModifiedBy>Un-named</cp:lastModifiedBy>
  <cp:revision>1</cp:revision>
  <dcterms:created xsi:type="dcterms:W3CDTF">2026-06-16T23:49:44.130Z</dcterms:created>
  <dcterms:modified xsi:type="dcterms:W3CDTF">2026-06-16T23:49:44.130Z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