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DOCSVIEWER OMNI</w:t>
      </w:r>
    </w:p>
    <w:p>
      <w:pPr>
        <w:jc w:val="center"/>
      </w:pPr>
      <w:r>
        <w:rPr>
          <w:b/>
          <w:sz w:val="32"/>
        </w:rPr>
        <w:t>DV2-BRN-001</w:t>
      </w:r>
    </w:p>
    <w:p>
      <w:pPr>
        <w:jc w:val="center"/>
      </w:pPr>
      <w:r>
        <w:rPr>
          <w:b/>
          <w:sz w:val="36"/>
        </w:rPr>
        <w:t>Especificação de Regras de Negócio</w:t>
      </w:r>
    </w:p>
    <w:p>
      <w:pPr>
        <w:jc w:val="center"/>
      </w:pPr>
      <w:r>
        <w:t>Versão 0.2 — Draft</w:t>
      </w:r>
    </w:p>
    <w:p/>
    <w:p>
      <w:pPr>
        <w:jc w:val="center"/>
      </w:pPr>
      <w:r>
        <w:t>Projeto/Release: DocsViewer 2.0</w:t>
        <w:br/>
        <w:t>Produto: DocsViewer Omni</w:t>
        <w:br/>
        <w:t>Data: 11/08/2026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DV2-BRN-001 — Especificação de Regras de Negócio</w:t>
            </w:r>
          </w:p>
        </w:tc>
      </w:tr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4844"/>
          </w:tcPr>
          <w:p>
            <w:r>
              <w:t>0.2</w:t>
            </w:r>
          </w:p>
        </w:tc>
      </w:tr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Classificação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de desenvolvimento / governança do produto</w:t>
            </w:r>
          </w:p>
        </w:tc>
      </w:tr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Produto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DocsViewer Omni</w:t>
            </w:r>
          </w:p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2422"/>
            <w:shd w:fill="D9EAF7"/>
          </w:tcPr>
          <w:p>
            <w:r>
              <w:t>0.2</w:t>
            </w:r>
          </w:p>
        </w:tc>
        <w:tc>
          <w:tcPr>
            <w:tcW w:type="dxa" w:w="242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type="dxa" w:w="242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Arial" w:hAnsi="Arial"/>
                <w:b w:val="0"/>
                <w:sz w:val="18"/>
              </w:rPr>
              <w:t>0.1</w:t>
            </w:r>
          </w:p>
        </w:tc>
        <w:tc>
          <w:tcPr>
            <w:tcW w:type="dxa" w:w="2422"/>
          </w:tcPr>
          <w:p>
            <w:r/>
            <w:r>
              <w:rPr>
                <w:rFonts w:ascii="Arial" w:hAnsi="Arial"/>
                <w:b w:val="0"/>
                <w:sz w:val="18"/>
              </w:rPr>
              <w:t>11/08/2026</w:t>
            </w:r>
          </w:p>
        </w:tc>
        <w:tc>
          <w:tcPr>
            <w:tcW w:type="dxa" w:w="2422"/>
          </w:tcPr>
          <w:p>
            <w:r/>
            <w:r>
              <w:rPr>
                <w:rFonts w:ascii="Arial" w:hAnsi="Arial"/>
                <w:b w:val="0"/>
                <w:sz w:val="18"/>
              </w:rPr>
              <w:t>Emissão inicial consolidando regras de negócio derivadas da Fundação v0.4.2, URS v0.2 e decisões aprovadas durante a definição funcional.</w:t>
            </w:r>
          </w:p>
        </w:tc>
        <w:tc>
          <w:tcPr>
            <w:tcW w:type="dxa" w:w="2422"/>
          </w:tcPr>
          <w:p>
            <w:r/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1. Objetivo</w:t>
      </w:r>
    </w:p>
    <w:p>
      <w:r>
        <w:t>Este documento define as regras de negócio do DocsViewer Omni necessárias para orientar requisitos, arquitetura, implementação, testes e validação. As regras descrevem comportamentos e restrições do produto sem substituir os procedimentos de controle documental das organizações clientes.</w:t>
      </w:r>
    </w:p>
    <w:p>
      <w:pPr>
        <w:pStyle w:val="Heading1"/>
      </w:pPr>
      <w:r>
        <w:t>2. Princípios de interpretação</w:t>
      </w:r>
    </w:p>
    <w:p>
      <w:pPr>
        <w:pStyle w:val="ListBullet"/>
      </w:pPr>
      <w:r>
        <w:t>O DocsViewer Omni é uma plataforma de gestão da disponibilização, pesquisa e visualização rastreável de documentos; não substitui o processo formal de elaboração, revisão e aprovação documental da organização.</w:t>
      </w:r>
    </w:p>
    <w:p>
      <w:pPr>
        <w:pStyle w:val="ListBullet"/>
      </w:pPr>
      <w:r>
        <w:t>Documento e Revisão Documental são conceitos distintos.</w:t>
      </w:r>
    </w:p>
    <w:p>
      <w:pPr>
        <w:pStyle w:val="ListBullet"/>
      </w:pPr>
      <w:r>
        <w:t>A revisão documental e sua condição de vigência/obsolescência são determinadas pelo processo de controle documental aplicável da organização.</w:t>
      </w:r>
    </w:p>
    <w:p>
      <w:pPr>
        <w:pStyle w:val="ListBullet"/>
      </w:pPr>
      <w:r>
        <w:t>O DocsViewer controla a representação digital incorporada, sua conferência, disponibilização, retirada do uso operacional, consulta histórica e rastreabilidade.</w:t>
      </w:r>
    </w:p>
    <w:p>
      <w:pPr>
        <w:pStyle w:val="ListBullet"/>
      </w:pPr>
      <w:r>
        <w:t>Requisitos específicos de uma implantação não devem ser incorporados ao núcleo do produto como regras universais sem justificativa.</w:t>
      </w:r>
    </w:p>
    <w:p>
      <w:pPr>
        <w:pStyle w:val="ListBullet"/>
      </w:pPr>
      <w:r>
        <w:t>Administração do sistema não implica automaticamente acesso irrestrito a documentos ou funções; autorizações são determinadas por permissões e escopos.</w:t>
      </w:r>
    </w:p>
    <w:p>
      <w:pPr>
        <w:pStyle w:val="Heading1"/>
      </w:pPr>
      <w:r>
        <w:t>3. Terminologia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Termo</w:t>
            </w:r>
          </w:p>
        </w:tc>
        <w:tc>
          <w:tcPr>
            <w:tcW w:type="dxa" w:w="484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Definição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Entidade lógica que representa um documento controlado independentemente de suas revisões.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Revisão Documental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Identificação de revisão atribuída pelo processo de controle documental da organização.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Arquivo Oficial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Arquivo incorporado ao DocsViewer como representação digital oficial de determinada revisão.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Disponibilizado para Uso Corrente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Estado interno do DocsViewer que indica qual representação deve ser apresentada nos fluxos operacionais normais.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Histórico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Representação preservada de revisão anterior ou retirada do uso corrente, sujeita a autorização específica.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Arial" w:hAnsi="Arial"/>
                <w:b/>
                <w:sz w:val="18"/>
              </w:rPr>
              <w:t>Cópia Derivada</w:t>
            </w:r>
          </w:p>
        </w:tc>
        <w:tc>
          <w:tcPr>
            <w:tcW w:type="dxa" w:w="4844"/>
          </w:tcPr>
          <w:p>
            <w:r/>
            <w:r>
              <w:rPr>
                <w:rFonts w:ascii="Arial" w:hAnsi="Arial"/>
                <w:b w:val="0"/>
                <w:sz w:val="18"/>
              </w:rPr>
              <w:t>Arquivo ou saída gerada a partir do arquivo oficial para download, impressão ou outra finalidade controlada.</w:t>
            </w:r>
          </w:p>
        </w:tc>
      </w:tr>
    </w:tbl>
    <w:p>
      <w:pPr>
        <w:pStyle w:val="Heading1"/>
      </w:pPr>
      <w:r>
        <w:t>4. Documento e Arquivo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Documento deve possuir identidade persistente e distinta das Revisões Documentais associadas.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Uma nova Revisão Documental deve permanecer vinculada ao mesmo Documento lógico, salvo quando o processo documental da organização determinar tratar-se de outro documento.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Revisão Documental poderá possuir um Arquivo Oficial associado no DocsViewer, conforme formatos suportados.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PDF é o formato documental principal inicial.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Arquivo Oficial incorporado não deve ser modificado silenciosamente pelo DocsViewer após sua incorporação controlada.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Marcas d'água, carimbos e identificações de controle introduzidos pelo DocsViewer não devem ser gravados permanentemente no Arquivo Oficial.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Metadados de controle devem ser mantidos de forma estruturada e associados ao Documento ou à Revisão conforme sua natureza.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BR-DOC-007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correção de erro da representação digital, quando não houver alteração da revisão documental, não deve exigir criação artificial de nova Revisão Documental.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Ex.: digitalização incompleta ou arquivo incorreto.</w:t>
            </w:r>
          </w:p>
        </w:tc>
      </w:tr>
      <w:tr>
        <w:tc>
          <w:tcPr>
            <w:tcW w:type="dxa" w:w="1191"/>
            <w:vAlign w:val="top"/>
          </w:tcPr>
          <w:p>
            <w:r>
              <w:t>BR-DOC-008</w:t>
            </w:r>
          </w:p>
        </w:tc>
        <w:tc>
          <w:tcPr>
            <w:tcW w:type="dxa" w:w="5272"/>
            <w:vAlign w:val="top"/>
          </w:tcPr>
          <w:p>
            <w:r>
              <w:t>A substituição corretiva de um Arquivo Oficial deve ser autorizada, justificada e rastreada. O arquivo substituído não precisa ser preservado fisicamente, devendo a ocorrência permanecer registrada no Audit Trail.</w:t>
            </w:r>
          </w:p>
        </w:tc>
        <w:tc>
          <w:tcPr>
            <w:tcW w:type="dxa" w:w="1814"/>
            <w:vAlign w:val="top"/>
          </w:tcPr>
          <w:p>
            <w:r>
              <w:t>DV2-001 / Q-BRN-002</w:t>
            </w:r>
          </w:p>
        </w:tc>
        <w:tc>
          <w:tcPr>
            <w:tcW w:type="dxa" w:w="1191"/>
            <w:vAlign w:val="top"/>
          </w:tcPr>
          <w:p>
            <w:r>
              <w:t>Aprovada</w:t>
            </w:r>
          </w:p>
        </w:tc>
        <w:tc>
          <w:tcPr>
            <w:tcW w:type="dxa" w:w="1814"/>
            <w:vAlign w:val="top"/>
          </w:tcPr>
          <w:p>
            <w:r>
              <w:t>Não representa nova revisão documental quando a revisão definida pelo processo documental não tiver sido alterada.</w:t>
            </w:r>
          </w:p>
        </w:tc>
      </w:tr>
      <w:tr>
        <w:tc>
          <w:tcPr>
            <w:tcW w:type="dxa" w:w="1938"/>
          </w:tcPr>
          <w:p>
            <w:r>
              <w:t>BR-DOC-009</w:t>
            </w:r>
          </w:p>
        </w:tc>
        <w:tc>
          <w:tcPr>
            <w:tcW w:type="dxa" w:w="1938"/>
          </w:tcPr>
          <w:p>
            <w:r>
              <w:t>A exclusão física deve ser uma capacidade configurável por organização e permanecer indisponível quando não habilitada.</w:t>
            </w:r>
          </w:p>
        </w:tc>
        <w:tc>
          <w:tcPr>
            <w:tcW w:type="dxa" w:w="1938"/>
          </w:tcPr>
          <w:p>
            <w:r>
              <w:t>Q-BRN-001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BR-DOC-010</w:t>
            </w:r>
          </w:p>
        </w:tc>
        <w:tc>
          <w:tcPr>
            <w:tcW w:type="dxa" w:w="1938"/>
          </w:tcPr>
          <w:p>
            <w:r>
              <w:t>Mesmo quando habilitada, a exclusão física somente poderá ser executada por usuário com função administrativa que também possua permissão granular específica para exclusão física.</w:t>
            </w:r>
          </w:p>
        </w:tc>
        <w:tc>
          <w:tcPr>
            <w:tcW w:type="dxa" w:w="1938"/>
          </w:tcPr>
          <w:p>
            <w:r>
              <w:t>Q-BRN-001 / BR-ACL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>
              <w:t>Ser administrador isoladamente não concede a capacidade.</w:t>
            </w:r>
          </w:p>
        </w:tc>
      </w:tr>
      <w:tr>
        <w:tc>
          <w:tcPr>
            <w:tcW w:type="dxa" w:w="1938"/>
          </w:tcPr>
          <w:p>
            <w:r>
              <w:t>BR-DOC-011</w:t>
            </w:r>
          </w:p>
        </w:tc>
        <w:tc>
          <w:tcPr>
            <w:tcW w:type="dxa" w:w="1938"/>
          </w:tcPr>
          <w:p>
            <w:r>
              <w:t>A exclusão física deve exigir justificativa antes de sua execução.</w:t>
            </w:r>
          </w:p>
        </w:tc>
        <w:tc>
          <w:tcPr>
            <w:tcW w:type="dxa" w:w="1938"/>
          </w:tcPr>
          <w:p>
            <w:r>
              <w:t>Q-BRN-001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BR-DOC-012</w:t>
            </w:r>
          </w:p>
        </w:tc>
        <w:tc>
          <w:tcPr>
            <w:tcW w:type="dxa" w:w="1938"/>
          </w:tcPr>
          <w:p>
            <w:r>
              <w:t>A exclusão física deve gerar Audit Trail contendo, no mínimo, usuário, data/hora, objeto excluído e justificativa.</w:t>
            </w:r>
          </w:p>
        </w:tc>
        <w:tc>
          <w:tcPr>
            <w:tcW w:type="dxa" w:w="1938"/>
          </w:tcPr>
          <w:p>
            <w:r>
              <w:t>Q-BRN-001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</w:tbl>
    <w:p/>
    <w:p>
      <w:pPr>
        <w:pStyle w:val="Heading1"/>
      </w:pPr>
      <w:r>
        <w:t>5. Revisões Documentais e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identificador de Revisão Documental exibido pelo DocsViewer deve refletir a revisão definida pelo processo de controle documental da organização.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DocsViewer não deve criar, aprovar ou determinar autonomamente uma nova Revisão Documental.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DocsViewer não substitui o processo formal de elaboração, revisão, aprovação, vigência ou obsolescência documental da organização.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v0.4.2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Revisões anteriores devem poder permanecer vinculadas ao Documento como histórico digital.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preservação de uma revisão no histórico não implica sua disponibilidade aos usuários operacionais.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autorização para consultar a representação disponibilizada para uso corrente não concede automaticamente acesso ao histórico.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BR-REV-007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acesso ao histórico deve ser controlável por permissão e escopo.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BR-REV-008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Usuários sem autorização para histórico não devem visualizar revisões históricas em catálogo, pesquisa, seletores ou navegação operacional normal.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BR-REV-009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Quando uma revisão histórica for exibida a usuário autorizado, sua condição deve permanecer inequivocamente identificada durante a consulta.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BR-REV-010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Revisões históricas não devem competir visualmente com a representação disponibilizada para uso corrente.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Product Vision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BR-REV-011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Histórico/obsolescência não deve ser tratado obrigatoriamente como categoria documental separada no núcleo do produto.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organização poderá definir categorias próprias, sem alterar o conceito de revisão.</w:t>
            </w:r>
          </w:p>
        </w:tc>
      </w:tr>
      <w:tr>
        <w:tc>
          <w:tcPr>
            <w:tcW w:type="dxa" w:w="1938"/>
          </w:tcPr>
          <w:p>
            <w:r>
              <w:t>BR-REV-012</w:t>
            </w:r>
          </w:p>
        </w:tc>
        <w:tc>
          <w:tcPr>
            <w:tcW w:type="dxa" w:w="1938"/>
          </w:tcPr>
          <w:p>
            <w:r>
              <w:t>As capacidades de visualizar, baixar e imprimir revisões históricas/obsoletas devem ser controláveis por permissões específicas.</w:t>
            </w:r>
          </w:p>
        </w:tc>
        <w:tc>
          <w:tcPr>
            <w:tcW w:type="dxa" w:w="1938"/>
          </w:tcPr>
          <w:p>
            <w:r>
              <w:t>Q-BRN-004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BR-REV-013</w:t>
            </w:r>
          </w:p>
        </w:tc>
        <w:tc>
          <w:tcPr>
            <w:tcW w:type="dxa" w:w="1938"/>
          </w:tcPr>
          <w:p>
            <w:r>
              <w:t>Download e impressão de revisões históricas/obsoletas somente poderão ser executados por usuários especificamente autorizados; usuários administrativos também necessitam das permissões correspondentes.</w:t>
            </w:r>
          </w:p>
        </w:tc>
        <w:tc>
          <w:tcPr>
            <w:tcW w:type="dxa" w:w="1938"/>
          </w:tcPr>
          <w:p>
            <w:r>
              <w:t>Q-BRN-004 / BR-ACL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</w:tbl>
    <w:p/>
    <w:p>
      <w:pPr>
        <w:pStyle w:val="Heading1"/>
      </w:pPr>
      <w:r>
        <w:t>6. Incorporação, Conferência e Disponibilização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Upload ou digitalização de um arquivo não deve disponibilizá-lo automaticamente aos usuários operacionais.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permitir conferência do arquivo e dos metadados antes de sua disponibilização para uso corrente.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disponibilização para uso corrente deve ser uma ação controlada e executada por usuário autorizado.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identificar inequivocamente qual representação está disponibilizada para uso corrente em cada Documento, conforme informação do processo documental aplicável.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Ao disponibilizar uma nova revisão para uso corrente, a representação anteriormente utilizada deve deixar de aparecer nos fluxos operacionais normais, preservando-se o histórico quando aplicável.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retirada de uma representação do uso corrente deve ser controlada por permissão e gerar Audit Trail.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princípio de rastreabilidade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BR-DSP-007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não deve inferir vigência documental apenas pela ordem numérica ou textual das revisões.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derivada da fronteira SGQ/DocsViewer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vigência vem do processo documental.</w:t>
            </w:r>
          </w:p>
        </w:tc>
      </w:tr>
      <w:tr>
        <w:tc>
          <w:tcPr>
            <w:tcW w:type="dxa" w:w="1938"/>
          </w:tcPr>
          <w:p>
            <w:r>
              <w:t>BR-DSP-008</w:t>
            </w:r>
          </w:p>
        </w:tc>
        <w:tc>
          <w:tcPr>
            <w:tcW w:type="dxa" w:w="1938"/>
          </w:tcPr>
          <w:p>
            <w:r>
              <w:t>O produto deve permitir, como configuração opcional por organização, fluxo de aprovação em duas etapas para operações definidas pela organização.</w:t>
            </w:r>
          </w:p>
        </w:tc>
        <w:tc>
          <w:tcPr>
            <w:tcW w:type="dxa" w:w="1938"/>
          </w:tcPr>
          <w:p>
            <w:r>
              <w:t>Q-BRN-003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BR-DSP-009</w:t>
            </w:r>
          </w:p>
        </w:tc>
        <w:tc>
          <w:tcPr>
            <w:tcW w:type="dxa" w:w="1938"/>
          </w:tcPr>
          <w:p>
            <w:r>
              <w:t>Quando a aprovação em duas etapas estiver habilitada, a organização deverá poder definir quando ela se aplica e quais usuários/permissões podem executar cada etapa.</w:t>
            </w:r>
          </w:p>
        </w:tc>
        <w:tc>
          <w:tcPr>
            <w:tcW w:type="dxa" w:w="1938"/>
          </w:tcPr>
          <w:p>
            <w:r>
              <w:t>Q-BRN-003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/>
          </w:p>
        </w:tc>
      </w:tr>
    </w:tbl>
    <w:p/>
    <w:p>
      <w:pPr>
        <w:pStyle w:val="Heading1"/>
      </w:pPr>
      <w:r>
        <w:t>7. Acesso, Perfis, Permissões e Escopos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organização deve poder definir perfis-base adequados ao seu contexto.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Admin/Editor/Viewer podem existir como exemplos/configuração inicial.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Perfis devem funcionar como agrupadores ou templates de permissões, sem eliminar a avaliação de permissões granulares.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Possuir perfil administrativo não concede automaticamente todas as permissões funcionais ou documentais.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acesso deve considerar, quando aplicável, permissão funcional e escopo documental.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interface não deve expor como utilizável uma função para a qual o usuário não possua autorização efetiva.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BR-ACL-006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autorização deve ser validada no servidor, não apenas por ocultação de elementos da interface.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Princípio técnico de segurança derivado da URS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Detalhamento técnico no SDS.</w:t>
            </w:r>
          </w:p>
        </w:tc>
      </w:tr>
    </w:tbl>
    <w:p/>
    <w:p>
      <w:pPr>
        <w:pStyle w:val="Heading1"/>
      </w:pPr>
      <w:r>
        <w:t>8. Pesquisa Textual e 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BR-SRC-001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pesquisa deve respeitar as mesmas permissões e escopos aplicáveis aos documentos e revisões de origem.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BR-SRC-002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Usuários sem acesso ao histórico não devem receber resultados provenientes exclusivamente de revisões históricas restritas.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BR-SRC-003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suportar pesquisa no texto disponível em PDFs pesquisáveis.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BR-SRC-004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suportar OCR básico para documentos digitalizados no escopo inicial, permitindo indexação e pesquisa textual quando tecnicamente viável.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OCR inteligente/IA permanece fora do escopo inicial.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BR-SRC-005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Resultados de pesquisa devem direcionar o usuário somente para conteúdo que ele esteja autorizado a consultar.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>
              <w:t>BR-SRC-006</w:t>
            </w:r>
          </w:p>
        </w:tc>
        <w:tc>
          <w:tcPr>
            <w:tcW w:type="dxa" w:w="1938"/>
          </w:tcPr>
          <w:p>
            <w:r>
              <w:t>O OCR inicial deve suportar Português do Brasil (pt-BR) e Inglês.</w:t>
            </w:r>
          </w:p>
        </w:tc>
        <w:tc>
          <w:tcPr>
            <w:tcW w:type="dxa" w:w="1938"/>
          </w:tcPr>
          <w:p>
            <w:r>
              <w:t>Q-BRN-006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>
              <w:t>Outros idiomas poderão ser adicionados posteriormente.</w:t>
            </w:r>
          </w:p>
        </w:tc>
      </w:tr>
    </w:tbl>
    <w:p/>
    <w:p>
      <w:pPr>
        <w:pStyle w:val="Heading1"/>
      </w:pPr>
      <w:r>
        <w:t>9. Visualização e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visualizador deve suportar PDFs retrato, paisagem e documentos com páginas de orientações diferentes.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visualização deve favorecer a representação disponibilizada para uso corrente.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Product Vision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permitir busca textual dentro do documento aberto quando houver texto pesquisável ou OCR disponível.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de demo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visualização lado a lado deve permitir comparação de dois documentos ou duas revisões quando o usuário possuir acesso a ambos.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painel do modo lado a lado deve manter identificação suficiente do Documento e Revisão exibidos.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funcional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BR-VWR-006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Favoritos devem apontar para o Documento de forma que o acesso normal privilegie a representação de uso corrente, evitando fixar inadvertidamente revisão histórica.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funcional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10. Download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BR-DWL-001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Download deve depender de permissão específica e, quando aplicável, escopo documental.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BR-DWL-002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permissão de visualização não implica automaticamente permissão de download.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BR-DWL-003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download poderá ser permitido em clientes Desktop ou Mobile conforme configuração da organização e capacidade homologada.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BR-DWL-004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Quando exigido pela política da organização, o download deve gerar Cópia Derivada identificada, sem modificar o Arquivo Oficial.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BR-DWL-005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Downloads controlados devem gerar Audit Trail conforme criticidade e política aplicável.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11. Impressão e Solicitações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Impressão deve depender de permissão específica e das restrições de plataforma/configuração aplicáveis.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permissão de visualização não implica automaticamente permissão de impressão.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produto deve permitir fluxo de solicitação de impressão para usuários que não possuam impressão direta, conforme configuração da organização.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solicitação poderá ser criada por cliente Mobile quando habilitado, ainda que a impressão física seja executada posteriormente em contexto Desktop autorizado.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impressão controlada deve gerar registro de Audit Trail e poderá exigir justificativa, aprovação ou outros controles configuráveis.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BR-PRN-006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saída impressa poderá receber identificação de controle sem alterar o Arquivo Oficial.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12. Marcas d'Água e Cópias Derivadas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Marca d'água do DocsViewer é elemento da representação ou Cópia Derivada e não parte permanente do Arquivo Oficial.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visualização poderá apresentar marca d'água dinâmica conforme política configurada pela organização.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Cópias para download e impressão poderão receber marca d'água e identificação de rastreabilidade conforme política aplicável.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geração, alteração ou remoção de marca d'água de uma representação não deve modificar o Arquivo Oficial armazenado.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marca d'água poderá utilizar usuário, data/hora, Documento, Revisão, dispositivo e/ou IP quando disponíveis e configurados.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BR-WMK-006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Revisões históricas poderão receber indicação visual reforçada de condição histórica/obsoleta durante consulta autorizada.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938"/>
          </w:tcPr>
          <w:p>
            <w:r>
              <w:t>BR-WMK-007</w:t>
            </w:r>
          </w:p>
        </w:tc>
        <w:tc>
          <w:tcPr>
            <w:tcW w:type="dxa" w:w="1938"/>
          </w:tcPr>
          <w:p>
            <w:r>
              <w:t>O produto deverá usar como referência funcional inicial o modelo de marca d'água do DocsViewer 1.0, aplicando-a somente à visualização ou à Cópia Derivada, sem alterar o Arquivo Oficial.</w:t>
            </w:r>
          </w:p>
        </w:tc>
        <w:tc>
          <w:tcPr>
            <w:tcW w:type="dxa" w:w="1938"/>
          </w:tcPr>
          <w:p>
            <w:r>
              <w:t>Q-BRN-005</w:t>
            </w:r>
          </w:p>
        </w:tc>
        <w:tc>
          <w:tcPr>
            <w:tcW w:type="dxa" w:w="1938"/>
          </w:tcPr>
          <w:p>
            <w:r>
              <w:t>Aprovada</w:t>
            </w:r>
          </w:p>
        </w:tc>
        <w:tc>
          <w:tcPr>
            <w:tcW w:type="dxa" w:w="1938"/>
          </w:tcPr>
          <w:p>
            <w:r>
              <w:t>Os elementos exatos do modelo do DocsViewer 1.0 deverão ser formalizados antes da implementação.</w:t>
            </w:r>
          </w:p>
        </w:tc>
      </w:tr>
    </w:tbl>
    <w:p/>
    <w:p>
      <w:pPr>
        <w:pStyle w:val="Heading1"/>
      </w:pPr>
      <w:r>
        <w:t>13. Usuários e Autenticação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BR-USR-001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criação de usuário deve exigir apenas os dados e autorizações definidos pela organização dentro do conjunto suportado pelo produto.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BR-USR-002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organização deve poder definir política de senha inicial padrão, incluindo comprimento e complexidade compatíveis com sua política interna.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Não fixar 123/123456 como regra universal.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BR-USR-003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Quando utilizada senha inicial padrão, o sistema deve exigir alteração no primeiro acesso conforme política configurada.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BR-USR-004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solicitação de criação de usuários poderá fazer parte de processo organizacional externo ao DocsViewer; o sistema não deve presumir um fluxo universal de RH/gestão.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Princípio produto x implantação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BR-USR-005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Biometria e identificação por crachá/código poderão ser suportadas como métodos complementares quando tecnicamente disponíveis e configurados, sem constituir dependência obrigatória do núcleo inicial.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Roadmap/decisão funcional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Planejada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Detalhamento futuro.</w:t>
            </w:r>
          </w:p>
        </w:tc>
      </w:tr>
    </w:tbl>
    <w:p/>
    <w:p>
      <w:pPr>
        <w:pStyle w:val="Heading1"/>
      </w:pPr>
      <w:r>
        <w:t>14.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BR-AUD-001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 Trail deve ser tratado separadamente de logs técnicos.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BR-AUD-002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Operações críticas de segurança, usuários, permissões, documentos, representações, disponibilização, impressão, download, solicitações e configurações devem possuir rastreabilidade adequada.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BR-AUD-003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Cada evento de Audit Trail deve permitir identificar, quando aplicável, usuário, data/hora confiável, ação, objeto afetado, resultado e contexto de dispositivo e/ou IP disponível.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BR-AUD-004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Registros de Audit Trail não devem ser editáveis por usuários por meio das funções normais da aplicação.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BR-AUD-005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Falhas de registro de auditoria em operações classificadas como críticas devem ser tratadas conforme estratégia de integridade definida no SDS e análise de risco.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GAMP/abordagem baseada em risco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 definição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Comportamento transacional será especificado tecnicamente.</w:t>
            </w:r>
          </w:p>
        </w:tc>
      </w:tr>
    </w:tbl>
    <w:p/>
    <w:p>
      <w:pPr>
        <w:pStyle w:val="Heading1"/>
      </w:pPr>
      <w:r>
        <w:t>15. Digitalização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BR-SCN-001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Digitalização integrada destina-se a contextos Desktop/Windows homologados e a usuários com permissão de inclusão/upload.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BR-SCN-002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Clientes Mobile não realizarão digitalização por scanner no escopo inicial.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BR-SCN-003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digitalização integrada deve produzir arquivo para conferência antes da disponibilização operacional.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 v0.2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BR-SCN-004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NAPS2 SDK permanece alternativa técnica a avaliar e não decisão arquitetural definitiva.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16. Configuração Organizacional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BR-CFG-001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DocsViewer Omni deve ser configurável por organização sem incorporar condicionais específicas de cliente ao núcleo do produto.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BR-CFG-002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Perfis, permissões, escopos, política de senha, capacidades por plataforma, marca d'água e controles de download/impressão poderão variar por organização dentro das opções suportadas.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BR-CFG-003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Uma configuração de implantação não deve ser promovida automaticamente a regra universal do produto.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17. Plataformas 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5272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Regra de Negócio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Fonte/Origem</w:t>
            </w:r>
          </w:p>
        </w:tc>
        <w:tc>
          <w:tcPr>
            <w:tcW w:type="dxa" w:w="1191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1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BR-PLT-001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núcleo funcional do DocsViewer Omni será Web e centralizado.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ADR-001 / ADR-002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BR-PLT-002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 produto poderá ser acessado por navegador homologado ou por clientes-shell opcionais para Windows e Android.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ADR-002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BR-PLT-003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Clientes-shell devem apresentar a aplicação com experiência de software/aplicativo sem duplicar desnecessariamente regras de negócio do núcleo Web.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ADR-002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BR-PLT-004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Capacidades disponibilizadas por plataforma devem ser configuráveis e condicionadas à homologação técnica.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DV2-001 / DV2-URS-001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BR-PLT-005</w:t>
            </w:r>
          </w:p>
        </w:tc>
        <w:tc>
          <w:tcPr>
            <w:tcW w:type="dxa" w:w="5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Políticas de acesso à internet, firewall, quiosque, MDM e bloqueios do dispositivo pertencem à infraestrutura/TI da organização, não ao núcleo funcional do DocsViewer.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ADR-002 / decisão aprovada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Aprovada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18. Decisões Fechadas nesta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FCE4D6"/>
          </w:tcPr>
          <w:p>
            <w:r>
              <w:t>ID</w:t>
            </w:r>
          </w:p>
        </w:tc>
        <w:tc>
          <w:tcPr>
            <w:tcW w:type="dxa" w:w="3230"/>
            <w:shd w:fill="FCE4D6"/>
          </w:tcPr>
          <w:p>
            <w:r>
              <w:t>Decisão</w:t>
            </w:r>
          </w:p>
        </w:tc>
        <w:tc>
          <w:tcPr>
            <w:tcW w:type="dxa" w:w="3230"/>
            <w:shd w:fill="FCE4D6"/>
          </w:tcPr>
          <w:p>
            <w:r>
              <w:t>Status</w:t>
            </w:r>
          </w:p>
        </w:tc>
      </w:tr>
      <w:tr>
        <w:tc>
          <w:tcPr>
            <w:tcW w:type="dxa" w:w="3230"/>
          </w:tcPr>
          <w:p>
            <w:r>
              <w:t>Q-BRN-001</w:t>
            </w:r>
          </w:p>
        </w:tc>
        <w:tc>
          <w:tcPr>
            <w:tcW w:type="dxa" w:w="3230"/>
          </w:tcPr>
          <w:p>
            <w:r>
              <w:t>Exclusão física configurável; função administrativa + permissão específica; justificativa e Audit Trail obrigatórios.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  <w:tr>
        <w:tc>
          <w:tcPr>
            <w:tcW w:type="dxa" w:w="3230"/>
          </w:tcPr>
          <w:p>
            <w:r>
              <w:t>Q-BRN-002</w:t>
            </w:r>
          </w:p>
        </w:tc>
        <w:tc>
          <w:tcPr>
            <w:tcW w:type="dxa" w:w="3230"/>
          </w:tcPr>
          <w:p>
            <w:r>
              <w:t>Arquivo substituído não precisa ser preservado fisicamente; substituição permanece registrada no Audit Trail.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  <w:tr>
        <w:tc>
          <w:tcPr>
            <w:tcW w:type="dxa" w:w="3230"/>
          </w:tcPr>
          <w:p>
            <w:r>
              <w:t>Q-BRN-003</w:t>
            </w:r>
          </w:p>
        </w:tc>
        <w:tc>
          <w:tcPr>
            <w:tcW w:type="dxa" w:w="3230"/>
          </w:tcPr>
          <w:p>
            <w:r>
              <w:t>Aprovação em duas etapas opcional e configurável pela organização.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  <w:tr>
        <w:tc>
          <w:tcPr>
            <w:tcW w:type="dxa" w:w="3230"/>
          </w:tcPr>
          <w:p>
            <w:r>
              <w:t>Q-BRN-004</w:t>
            </w:r>
          </w:p>
        </w:tc>
        <w:tc>
          <w:tcPr>
            <w:tcW w:type="dxa" w:w="3230"/>
          </w:tcPr>
          <w:p>
            <w:r>
              <w:t>Histórico sujeito a permissões específicas; download e impressão exigem autorização específica, inclusive para administradores.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  <w:tr>
        <w:tc>
          <w:tcPr>
            <w:tcW w:type="dxa" w:w="3230"/>
          </w:tcPr>
          <w:p>
            <w:r>
              <w:t>Q-BRN-005</w:t>
            </w:r>
          </w:p>
        </w:tc>
        <w:tc>
          <w:tcPr>
            <w:tcW w:type="dxa" w:w="3230"/>
          </w:tcPr>
          <w:p>
            <w:r>
              <w:t>Marca d'água baseada no comportamento do DocsViewer 1.0, sem modificar o Arquivo Oficial.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  <w:tr>
        <w:tc>
          <w:tcPr>
            <w:tcW w:type="dxa" w:w="3230"/>
          </w:tcPr>
          <w:p>
            <w:r>
              <w:t>Q-BRN-006</w:t>
            </w:r>
          </w:p>
        </w:tc>
        <w:tc>
          <w:tcPr>
            <w:tcW w:type="dxa" w:w="3230"/>
          </w:tcPr>
          <w:p>
            <w:r>
              <w:t>OCR inicial em Português do Brasil e Inglês.</w:t>
            </w:r>
          </w:p>
        </w:tc>
        <w:tc>
          <w:tcPr>
            <w:tcW w:type="dxa" w:w="3230"/>
          </w:tcPr>
          <w:p>
            <w:r>
              <w:t>Fechada</w:t>
            </w:r>
          </w:p>
        </w:tc>
      </w:tr>
    </w:tbl>
    <w:p>
      <w:pPr>
        <w:pStyle w:val="Heading1"/>
      </w:pPr>
      <w:r>
        <w:t>19. Rastreabilidade e Próximos Passos</w:t>
      </w:r>
    </w:p>
    <w:p>
      <w:r>
        <w:t>As regras deste documento deverão ser relacionadas aos requisitos da DV2-URS-001, aos riscos aplicáveis, às decisões arquiteturais, à especificação de projeto/software e aos casos de teste. A versão 0.2 permanece Draft até revisão humana do conjunto consolidado e execução da rastreabilidade URS ↔ BRN.</w:t>
      </w:r>
    </w:p>
    <w:p>
      <w:pPr>
        <w:pStyle w:val="ListBullet"/>
      </w:pPr>
      <w:r>
        <w:t>Revisar o BRN v0.2 consolidado com o responsável do produto.</w:t>
      </w:r>
    </w:p>
    <w:p>
      <w:pPr>
        <w:pStyle w:val="ListBullet"/>
      </w:pPr>
      <w:r>
        <w:t>Atualizar a matriz de rastreabilidade URS ↔ BRN.</w:t>
      </w:r>
    </w:p>
    <w:p>
      <w:pPr>
        <w:pStyle w:val="ListBullet"/>
      </w:pPr>
      <w:r>
        <w:t>Registrar decisões adicionais em ADR quando houver impacto arquitetural.</w:t>
      </w:r>
    </w:p>
    <w:p>
      <w:pPr>
        <w:pStyle w:val="ListBullet"/>
      </w:pPr>
      <w:r>
        <w:t>Somente após estabilização suficiente das regras iniciar implementação de domínio que dependa delas.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Documento de desenvolvimento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DocsViewer Omni — DV2-BRN-001 — Especificação de Regras de Negócio — v0.2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DV2-BRN-001 — Especificação de Regras de Negócio</dc:title>
  <dc:subject>DocsViewer Omni — Regras de Negócio — v0.1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