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DOCSVIEWER 2.0</w:t>
      </w:r>
    </w:p>
    <w:p>
      <w:pPr>
        <w:jc w:val="center"/>
      </w:pPr>
      <w:r>
        <w:rPr>
          <w:b/>
          <w:sz w:val="32"/>
        </w:rPr>
        <w:t>DV2-001</w:t>
      </w:r>
    </w:p>
    <w:p>
      <w:pPr>
        <w:jc w:val="center"/>
      </w:pPr>
      <w:r>
        <w:rPr>
          <w:b/>
          <w:sz w:val="46"/>
        </w:rPr>
        <w:t>DOCUMENTO DE FUNDAÇÃO DO PROJETO</w:t>
      </w:r>
    </w:p>
    <w:p>
      <w:pPr>
        <w:jc w:val="center"/>
      </w:pPr>
      <w:r>
        <w:rPr>
          <w:b w:val="0"/>
          <w:sz w:val="24"/>
        </w:rPr>
        <w:t>Project Foundation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4929"/>
          </w:tcPr>
          <w:p>
            <w:r>
              <w:t>DocsViewer 2.0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29"/>
          </w:tcPr>
          <w:p>
            <w:r>
              <w:t>DV2-001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929"/>
          </w:tcPr>
          <w:p>
            <w:r>
              <w:t>0.4.2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29"/>
          </w:tcPr>
          <w:p>
            <w:r>
              <w:t>Draft - Em elaboração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29"/>
          </w:tcPr>
          <w:p>
            <w:r>
              <w:t>Fundação / Governança do Produto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Documento superior</w:t>
            </w:r>
          </w:p>
        </w:tc>
        <w:tc>
          <w:tcPr>
            <w:tcW w:type="dxa" w:w="4929"/>
          </w:tcPr>
          <w:p>
            <w:r>
              <w:t>DV2-000 - Product Vision</w:t>
            </w:r>
          </w:p>
        </w:tc>
      </w:tr>
    </w:tbl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Função</w:t>
            </w:r>
          </w:p>
        </w:tc>
        <w:tc>
          <w:tcPr>
            <w:tcW w:type="dxa" w:w="2465"/>
          </w:tcPr>
          <w:p>
            <w:r>
              <w:t>Nome</w:t>
            </w:r>
          </w:p>
        </w:tc>
        <w:tc>
          <w:tcPr>
            <w:tcW w:type="dxa" w:w="2465"/>
          </w:tcPr>
          <w:p>
            <w:r>
              <w:t>Data</w:t>
            </w:r>
          </w:p>
        </w:tc>
        <w:tc>
          <w:tcPr>
            <w:tcW w:type="dxa" w:w="2465"/>
          </w:tcPr>
          <w:p>
            <w:r>
              <w:t>Assinatura / Aprovação</w:t>
            </w:r>
          </w:p>
        </w:tc>
      </w:tr>
      <w:tr>
        <w:tc>
          <w:tcPr>
            <w:tcW w:type="dxa" w:w="2465"/>
          </w:tcPr>
          <w:p>
            <w:r>
              <w:t>Elaboração</w:t>
            </w:r>
          </w:p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</w:tr>
      <w:tr>
        <w:tc>
          <w:tcPr>
            <w:tcW w:type="dxa" w:w="2465"/>
          </w:tcPr>
          <w:p>
            <w:r>
              <w:t>Revisão</w:t>
            </w:r>
          </w:p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</w:tr>
      <w:tr>
        <w:tc>
          <w:tcPr>
            <w:tcW w:type="dxa" w:w="2465"/>
          </w:tcPr>
          <w:p>
            <w:r>
              <w:t>Aprovação</w:t>
            </w:r>
          </w:p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</w:tr>
    </w:tbl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Versão</w:t>
            </w:r>
          </w:p>
        </w:tc>
        <w:tc>
          <w:tcPr>
            <w:tcW w:type="dxa" w:w="2465"/>
          </w:tcPr>
          <w:p>
            <w:r>
              <w:t>0.4.2</w:t>
            </w:r>
          </w:p>
        </w:tc>
        <w:tc>
          <w:tcPr>
            <w:tcW w:type="dxa" w:w="2465"/>
          </w:tcPr>
          <w:p>
            <w:r>
              <w:t>Descrição</w:t>
            </w:r>
          </w:p>
        </w:tc>
        <w:tc>
          <w:tcPr>
            <w:tcW w:type="dxa" w:w="2465"/>
          </w:tcPr>
          <w:p>
            <w:r>
              <w:t>Status</w:t>
            </w:r>
          </w:p>
        </w:tc>
      </w:tr>
      <w:tr>
        <w:tc>
          <w:tcPr>
            <w:tcW w:type="dxa" w:w="2465"/>
          </w:tcPr>
          <w:p>
            <w:r>
              <w:t>0.1</w:t>
            </w:r>
          </w:p>
        </w:tc>
        <w:tc>
          <w:tcPr>
            <w:tcW w:type="dxa" w:w="2465"/>
          </w:tcPr>
          <w:p>
            <w:r>
              <w:t>2026</w:t>
            </w:r>
          </w:p>
        </w:tc>
        <w:tc>
          <w:tcPr>
            <w:tcW w:type="dxa" w:w="2465"/>
          </w:tcPr>
          <w:p>
            <w:r>
              <w:t>Emissão inicial da Fundação do Projeto.</w:t>
            </w:r>
          </w:p>
        </w:tc>
        <w:tc>
          <w:tcPr>
            <w:tcW w:type="dxa" w:w="2465"/>
          </w:tcPr>
          <w:p>
            <w:r>
              <w:t>Histórico</w:t>
            </w:r>
          </w:p>
        </w:tc>
      </w:tr>
      <w:tr>
        <w:tc>
          <w:tcPr>
            <w:tcW w:type="dxa" w:w="2465"/>
          </w:tcPr>
          <w:p>
            <w:r>
              <w:t>0.2</w:t>
            </w:r>
          </w:p>
        </w:tc>
        <w:tc>
          <w:tcPr>
            <w:tcW w:type="dxa" w:w="2465"/>
          </w:tcPr>
          <w:p>
            <w:r>
              <w:t>2026</w:t>
            </w:r>
          </w:p>
        </w:tc>
        <w:tc>
          <w:tcPr>
            <w:tcW w:type="dxa" w:w="2465"/>
          </w:tcPr>
          <w:p>
            <w:r>
              <w:t>Inclusão de permissões granulares, solicitações, autenticação futura e dispositivos.</w:t>
            </w:r>
          </w:p>
        </w:tc>
        <w:tc>
          <w:tcPr>
            <w:tcW w:type="dxa" w:w="2465"/>
          </w:tcPr>
          <w:p>
            <w:r>
              <w:t>Histórico</w:t>
            </w:r>
          </w:p>
        </w:tc>
      </w:tr>
      <w:tr>
        <w:tc>
          <w:tcPr>
            <w:tcW w:type="dxa" w:w="2465"/>
          </w:tcPr>
          <w:p>
            <w:r>
              <w:t>0.3</w:t>
            </w:r>
          </w:p>
        </w:tc>
        <w:tc>
          <w:tcPr>
            <w:tcW w:type="dxa" w:w="2465"/>
          </w:tcPr>
          <w:p>
            <w:r>
              <w:t>08/08/2026</w:t>
            </w:r>
          </w:p>
        </w:tc>
        <w:tc>
          <w:tcPr>
            <w:tcW w:type="dxa" w:w="2465"/>
          </w:tcPr>
          <w:p>
            <w:r>
              <w:t>Revisão estrutural: produto configurável, produto x implantação, estratégia Web, validação desde o ciclo de vida e governança.</w:t>
            </w:r>
          </w:p>
        </w:tc>
        <w:tc>
          <w:tcPr>
            <w:tcW w:type="dxa" w:w="2465"/>
          </w:tcPr>
          <w:p>
            <w:r>
              <w:t>Draft</w:t>
            </w:r>
          </w:p>
        </w:tc>
      </w:tr>
    </w:tbl>
    <w:p>
      <w:pPr>
        <w:pStyle w:val="Heading2"/>
      </w:pPr>
      <w:r>
        <w:t>Documentos Relacionados</w:t>
      </w:r>
    </w:p>
    <w:p>
      <w:pPr>
        <w:pStyle w:val="ListBullet"/>
      </w:pPr>
      <w:r>
        <w:t>DV2-000 - Product Vision v0.2 Draft</w:t>
      </w:r>
    </w:p>
    <w:p>
      <w:pPr>
        <w:pStyle w:val="ListBullet"/>
      </w:pPr>
      <w:r>
        <w:t>DV2-PMP-001 - Plano Mestre do Projeto v0.1 Draft</w:t>
      </w:r>
    </w:p>
    <w:p>
      <w:pPr>
        <w:pStyle w:val="ListBullet"/>
      </w:pPr>
      <w:r>
        <w:t>DV2-VMP-001 - Plano Mestre de Validação (planejado)</w:t>
      </w:r>
    </w:p>
    <w:p>
      <w:pPr>
        <w:pStyle w:val="ListBullet"/>
      </w:pPr>
      <w:r>
        <w:t>DV2-URS-001 - Especificação de Requisitos do Usuário v0.1 Draft</w:t>
      </w:r>
    </w:p>
    <w:p>
      <w:pPr>
        <w:pStyle w:val="ListBullet"/>
      </w:pPr>
      <w:r>
        <w:t>DV2-BRN-001 - Regras de Negócio (planejado)</w:t>
      </w:r>
    </w:p>
    <w:p>
      <w:pPr>
        <w:pStyle w:val="ListBullet"/>
      </w:pPr>
      <w:r>
        <w:t>DV2-FRS-001 - Especificação Funcional (planejado)</w:t>
      </w:r>
    </w:p>
    <w:p>
      <w:pPr>
        <w:pStyle w:val="ListBullet"/>
      </w:pPr>
      <w:r>
        <w:t>DV2-SDS-001 - Especificação de Arquitetura e Design (planejado)</w:t>
      </w:r>
    </w:p>
    <w:p>
      <w:r>
        <w:br w:type="page"/>
      </w:r>
    </w:p>
    <w:p>
      <w:pPr>
        <w:pStyle w:val="Heading1"/>
      </w:pPr>
      <w:r>
        <w:t>1. Objetivo e Natureza do Documento</w:t>
      </w:r>
    </w:p>
    <w:p>
      <w:r>
        <w:t>Este documento estabelece a fundação oficial do projeto DocsViewer 2.0. Ele define os limites do produto, princípios de governança, diretrizes estruturais, premissas, decisões consolidadas e a organização documental que orientarão requisitos, arquitetura, desenvolvimento, testes, validação, implantação e manutenção.</w:t>
      </w:r>
    </w:p>
    <w:p>
      <w:r>
        <w:t>A Fundação não substitui a URS, as Regras de Negócio ou as especificações técnicas. Seu papel é impedir que o projeto cresça sem direção e fornecer uma referência estável para decisões futuras.</w:t>
      </w:r>
    </w:p>
    <w:p>
      <w:pPr>
        <w:pStyle w:val="Heading1"/>
      </w:pPr>
      <w:r>
        <w:t>2. Identidade do Produto</w:t>
      </w:r>
    </w:p>
    <w:p>
      <w:pPr>
        <w:pStyle w:val="Heading2"/>
      </w:pPr>
      <w:r>
        <w:t>2.1 Nome</w:t>
      </w:r>
    </w:p>
    <w:p>
      <w:r>
        <w:t>O produto será denominado DocsViewer 2.0.</w:t>
      </w:r>
    </w:p>
    <w:p>
      <w:pPr>
        <w:pStyle w:val="Heading2"/>
      </w:pPr>
      <w:r>
        <w:t>2.2 Definição</w:t>
      </w:r>
    </w:p>
    <w:p>
      <w:r>
        <w:t>Plataforma configurável para visualização, distribuição controlada, organização e rastreabilidade de documentos e informações técnicas.</w:t>
      </w:r>
    </w:p>
    <w:p>
      <w:pPr>
        <w:pStyle w:val="Heading2"/>
      </w:pPr>
      <w:r>
        <w:t>2.3 Origem</w:t>
      </w:r>
    </w:p>
    <w:p>
      <w:r>
        <w:t>O produto deriva da experiência operacional do DocsViewer 1.0, que permanece em uso. O 2.0 será uma reengenharia do conceito, sem obrigação de reaproveitamento do código legado.</w:t>
      </w:r>
    </w:p>
    <w:p>
      <w:pPr>
        <w:pStyle w:val="Heading2"/>
      </w:pPr>
      <w:r>
        <w:t>2.4 Primeira implantação</w:t>
      </w:r>
    </w:p>
    <w:p>
      <w:r>
        <w:t>O produto poderá utilizar uma implantação inicial de referência para validação de necessidades reais durante sua concepção. O núcleo do produto, porém, não deverá depender de regras específicas de qualquer organização cliente.</w:t>
      </w:r>
    </w:p>
    <w:p>
      <w:r>
        <w:t>Este Documento de Fundação descreve exclusivamente a fundação do produto DocsViewer Omni. Identidades, processos internos, configurações, infraestrutura e requisitos particulares de organizações clientes devem ser documentados separadamente nos respectivos projetos de implantação.</w:t>
      </w:r>
    </w:p>
    <w:p>
      <w:pPr>
        <w:pStyle w:val="Heading2"/>
      </w:pPr>
      <w:r>
        <w:t>2.5 Produto x implantação</w:t>
      </w:r>
    </w:p>
    <w:p>
      <w:r>
        <w:t>O produto define capacidades genéricas. Cada implantação define identidade visual, estrutura organizacional, categorias, tipos documentais, políticas, permissões, fluxos, integrações e demais parâmetros do cliente.</w:t>
      </w:r>
    </w:p>
    <w:p>
      <w:pPr>
        <w:pStyle w:val="Heading1"/>
      </w:pPr>
      <w:r>
        <w:t>3. Problema e Propósito</w:t>
      </w:r>
    </w:p>
    <w:p>
      <w:pPr>
        <w:pStyle w:val="Heading2"/>
      </w:pPr>
      <w:r>
        <w:t>3.1 Problema central</w:t>
      </w:r>
    </w:p>
    <w:p>
      <w:r>
        <w:t>Reduzir dificuldade, demora e risco na consulta de documentação controlada, especialmente em ambientes industriais nos quais a informação precisa estar disponível no local de execução do trabalho.</w:t>
      </w:r>
    </w:p>
    <w:p>
      <w:pPr>
        <w:pStyle w:val="Heading2"/>
      </w:pPr>
      <w:r>
        <w:t>3.2 Propósito operacional</w:t>
      </w:r>
    </w:p>
    <w:p>
      <w:r>
        <w:t>Favorecer que o usuário autorizado encontre e visualize rapidamente o documento correto e a revisão aplicável, com controles proporcionais ao risco e evidências de ações relevantes.</w:t>
      </w:r>
    </w:p>
    <w:p>
      <w:pPr>
        <w:pStyle w:val="Heading2"/>
      </w:pPr>
      <w:r>
        <w:t>3.3 Limite de escopo</w:t>
      </w:r>
    </w:p>
    <w:p>
      <w:r>
        <w:t>DocsViewer não é ERP, PLM, PDM, CAD, suíte Office ou editor documental completo. Ele deve coexistir e integrar-se com ferramentas de autoria e sistemas corporativos.</w:t>
      </w:r>
    </w:p>
    <w:p>
      <w:pPr>
        <w:pStyle w:val="Heading1"/>
      </w:pPr>
      <w:r>
        <w:t>4. Escopo Funcional de Alto Nível</w:t>
      </w:r>
    </w:p>
    <w:p>
      <w:pPr>
        <w:pStyle w:val="ListBullet"/>
      </w:pPr>
      <w:r>
        <w:t>Autenticação e gestão de sessões.</w:t>
      </w:r>
    </w:p>
    <w:p>
      <w:pPr>
        <w:pStyle w:val="ListBullet"/>
      </w:pPr>
      <w:r>
        <w:t>Usuários, perfis base, permissões granulares e escopos.</w:t>
      </w:r>
    </w:p>
    <w:p>
      <w:pPr>
        <w:pStyle w:val="ListBullet"/>
      </w:pPr>
      <w:r>
        <w:t>Organizações e configurações de implantação.</w:t>
      </w:r>
    </w:p>
    <w:p>
      <w:pPr>
        <w:pStyle w:val="ListBullet"/>
      </w:pPr>
      <w:r>
        <w:t>Categorias, subcategorias e tipos documentais configuráveis.</w:t>
      </w:r>
    </w:p>
    <w:p>
      <w:pPr>
        <w:pStyle w:val="ListBullet"/>
      </w:pPr>
      <w:r>
        <w:t>Documentos lógicos e revisões.</w:t>
      </w:r>
    </w:p>
    <w:p>
      <w:pPr>
        <w:pStyle w:val="ListBullet"/>
      </w:pPr>
      <w:r>
        <w:t>Upload/incorporação e disponibilização controlada de arquivos.</w:t>
      </w:r>
    </w:p>
    <w:p>
      <w:pPr>
        <w:pStyle w:val="ListBullet"/>
      </w:pPr>
      <w:r>
        <w:t>Pesquisa, navegação e visualização de PDF.</w:t>
      </w:r>
    </w:p>
    <w:p>
      <w:pPr>
        <w:pStyle w:val="ListBullet"/>
      </w:pPr>
      <w:r>
        <w:t>Auditoria de ações relevantes.</w:t>
      </w:r>
    </w:p>
    <w:p>
      <w:pPr>
        <w:pStyle w:val="ListBullet"/>
      </w:pPr>
      <w:r>
        <w:t>Impressão direta e impressão mediante solicitação/autorização, conforme política.</w:t>
      </w:r>
    </w:p>
    <w:p>
      <w:pPr>
        <w:pStyle w:val="ListBullet"/>
      </w:pPr>
      <w:r>
        <w:t>Administração, relatórios e configurações.</w:t>
      </w:r>
    </w:p>
    <w:p>
      <w:pPr>
        <w:pStyle w:val="ListBullet"/>
      </w:pPr>
      <w:r>
        <w:t>Preparação arquitetural para integrações e módulos futuros.</w:t>
      </w:r>
    </w:p>
    <w:p>
      <w:pPr>
        <w:pStyle w:val="Heading1"/>
      </w:pPr>
      <w:r>
        <w:t>5. Plataformas e Experiência</w:t>
      </w:r>
    </w:p>
    <w:p>
      <w:pPr>
        <w:pStyle w:val="Heading2"/>
      </w:pPr>
      <w:r>
        <w:t>5.1 Plataformas prioritárias</w:t>
      </w:r>
    </w:p>
    <w:p>
      <w:r>
        <w:t>Windows é a prioridade inicial para a experiência Desktop e Android é a prioridade inicial para a experiência Mobile. As capacidades disponibilizadas em cada contexto serão configuráveis por organização, respeitando suporte técnico e homologação; limitações da primeira implantação não constituem restrições universais do produto.</w:t>
      </w:r>
    </w:p>
    <w:p>
      <w:pPr>
        <w:pStyle w:val="Heading2"/>
      </w:pPr>
      <w:r>
        <w:t>5.2 Estratégia Web</w:t>
      </w:r>
    </w:p>
    <w:p>
      <w:r>
        <w:t>O núcleo do produto será uma aplicação Web responsiva. Além do acesso por navegador homologado, o produto suportará clientes-shell opcionais para Windows e Android, destinados a apresentar a mesma aplicação com experiência de software/aplicativo instalado, conforme ADR-002. Os shells não constituem produtos funcionais independentes e não devem duplicar regras de negócio do núcleo Web.</w:t>
      </w:r>
    </w:p>
    <w:p>
      <w:pPr>
        <w:pStyle w:val="Heading2"/>
      </w:pPr>
      <w:r>
        <w:t>5.3 Plataformas futuras</w:t>
      </w:r>
    </w:p>
    <w:p>
      <w:r>
        <w:t>Linux, macOS e iOS podem tornar-se compatíveis, mas não serão declarados homologados até que sejam formalmente avaliados e testados.</w:t>
      </w:r>
    </w:p>
    <w:p>
      <w:pPr>
        <w:pStyle w:val="Heading2"/>
      </w:pPr>
      <w:r>
        <w:t>5.4 Princípio de interface</w:t>
      </w:r>
    </w:p>
    <w:p>
      <w:r>
        <w:t>A consulta deve ser simples, rápida e adequada a mouse, teclado e toque. A complexidade administrativa deve permanecer fora dos fluxos rotineiros do operador.</w:t>
      </w:r>
    </w:p>
    <w:p>
      <w:pPr>
        <w:pStyle w:val="Heading1"/>
      </w:pPr>
      <w:r>
        <w:t>6. Arquitetura de Fundação</w:t>
      </w:r>
    </w:p>
    <w:p>
      <w:pPr>
        <w:pStyle w:val="Heading2"/>
      </w:pPr>
      <w:r>
        <w:t>6.1 Estilo arquitetural</w:t>
      </w:r>
    </w:p>
    <w:p>
      <w:r>
        <w:t>O produto será inicialmente estruturado como monólito modular, preservando separação de responsabilidades sem introduzir complexidade operacional desnecessária.</w:t>
      </w:r>
    </w:p>
    <w:p>
      <w:pPr>
        <w:pStyle w:val="Heading2"/>
      </w:pPr>
      <w:r>
        <w:t>6.2 Camadas iniciais</w:t>
      </w:r>
    </w:p>
    <w:p>
      <w:r>
        <w:t>Domain, Application, Infrastructure e Web, acompanhadas de projetos de testes unitários e de integração.</w:t>
      </w:r>
    </w:p>
    <w:p>
      <w:pPr>
        <w:pStyle w:val="Heading2"/>
      </w:pPr>
      <w:r>
        <w:t>6.3 Renderização Web</w:t>
      </w:r>
    </w:p>
    <w:p>
      <w:r>
        <w:t>Foi definida a utilização de Blazor Web App com Interactive Server como estratégia inicial. WebAssembly e Auto não fazem parte da primeira fase.</w:t>
      </w:r>
    </w:p>
    <w:p>
      <w:pPr/>
      <w:r>
        <w:t>6.4 Clientes-shell e experiência instalável</w:t>
      </w:r>
    </w:p>
    <w:p>
      <w:pPr/>
      <w:r>
        <w:t>Conforme ADR-002, o núcleo Web poderá ser apresentado por clientes-shell opcionais para Windows e Android. Esses clientes deverão oferecer experiência de aplicativo instalado, sem exigir interface de navegador de uso geral, permanecendo dependentes do núcleo Web para autenticação, autorização, regras de negócio, documentos, revisões, pesquisa e Audit Trail. Tecnologias específicas dos shells serão definidas em projeto técnico posterior.</w:t>
      </w:r>
    </w:p>
    <w:p>
      <w:pPr>
        <w:pStyle w:val="Heading2"/>
      </w:pPr>
      <w:r>
        <w:t>6.5 Plataforma .NET</w:t>
      </w:r>
    </w:p>
    <w:p>
      <w:r>
        <w:t>A fundação técnica iniciou em .NET 8. A decisão de migração para .NET 10 LTS deverá ser registrada formalmente em ADR e aplicada antes do avanço substancial do desenvolvimento.</w:t>
      </w:r>
    </w:p>
    <w:p>
      <w:pPr>
        <w:pStyle w:val="Heading2"/>
      </w:pPr>
      <w:r>
        <w:t>6.6 Persistência</w:t>
      </w:r>
    </w:p>
    <w:p>
      <w:r>
        <w:t>SQL Server é a direção inicial para persistência relacional. A edição gratuita poderá ser utilizada quando adequada à implantação, respeitando suas limitações técnicas e de capacidade.</w:t>
      </w:r>
    </w:p>
    <w:p>
      <w:pPr>
        <w:pStyle w:val="Heading2"/>
      </w:pPr>
      <w:r>
        <w:t>6.7 Armazenamento de arquivos</w:t>
      </w:r>
    </w:p>
    <w:p>
      <w:r>
        <w:t>Arquivos documentais deverão permanecer em repositório controlado, podendo utilizar armazenamento interno/NAS na primeira implantação. O navegador não deverá acessar diretamente caminhos físicos do repositório.</w:t>
      </w:r>
    </w:p>
    <w:p>
      <w:pPr>
        <w:pStyle w:val="Heading2"/>
      </w:pPr>
      <w:r>
        <w:t>6.8 Integridade</w:t>
      </w:r>
    </w:p>
    <w:p>
      <w:r>
        <w:t>Arquivos publicados deverão possuir mecanismo de verificação de integridade, inicialmente baseado em hash criptográfico forte, sem confundir integridade com assinatura/aprovação.</w:t>
      </w:r>
    </w:p>
    <w:p>
      <w:pPr>
        <w:pStyle w:val="Heading1"/>
      </w:pPr>
      <w:r>
        <w:t>7. Modelo de Produto Configurável</w:t>
      </w:r>
    </w:p>
    <w:p>
      <w:pPr>
        <w:pStyle w:val="Heading2"/>
      </w:pPr>
      <w:r>
        <w:t>7.1 Princípio</w:t>
      </w:r>
    </w:p>
    <w:p>
      <w:r>
        <w:t>Configuração deve ser preferida a customização de código.</w:t>
      </w:r>
    </w:p>
    <w:p>
      <w:pPr>
        <w:pStyle w:val="Heading2"/>
      </w:pPr>
      <w:r>
        <w:t>7.2 Elementos configuráveis previstos</w:t>
      </w:r>
    </w:p>
    <w:p>
      <w:r>
        <w:t>Organização, logotipo, identidade visual, estrutura organizacional, categorias, tipos documentais, marca d'água, políticas, permissões, parâmetros de segurança, fluxos e integrações deverão ser avaliados para configuração.</w:t>
      </w:r>
    </w:p>
    <w:p>
      <w:pPr>
        <w:pStyle w:val="Heading2"/>
      </w:pPr>
      <w:r>
        <w:t>7.3 Proibição estrutural</w:t>
      </w:r>
    </w:p>
    <w:p>
      <w:r>
        <w:t>O núcleo não deve conter condicionais específicas de organizações clientes. Particularidades de cada implantação devem ser tratadas por configuração, extensão formalmente definida ou documentação específica de implantação, conforme aplicável.</w:t>
      </w:r>
    </w:p>
    <w:p>
      <w:pPr>
        <w:pStyle w:val="Heading2"/>
      </w:pPr>
      <w:r>
        <w:t>7.4 Multi-organização</w:t>
      </w:r>
    </w:p>
    <w:p>
      <w:r>
        <w:t>A arquitetura deve evitar pressupostos que inviabilizem futuras implantações em outras organizações. Não será implementado SaaS/multitenancy complexo sem decisão formal.</w:t>
      </w:r>
    </w:p>
    <w:p>
      <w:pPr>
        <w:pStyle w:val="Heading1"/>
      </w:pPr>
      <w:r>
        <w:t>8. Identidade, Perfis e Permissões</w:t>
      </w:r>
    </w:p>
    <w:p>
      <w:pPr>
        <w:pStyle w:val="Heading2"/>
      </w:pPr>
      <w:r>
        <w:t>8.1 Perfis base</w:t>
      </w:r>
    </w:p>
    <w:p>
      <w:r>
        <w:t>Os perfis-base não constituem conjunto universal fixo do produto. Cada organização poderá definir perfis-base adequados ao seu contexto e utilizá-los como templates de permissões. Perfis como Admin, Editor e Viewer poderão ser disponibilizados como exemplos ou configuração inicial de implantação, sem concessão automática de todas as capacidades.</w:t>
      </w:r>
    </w:p>
    <w:p>
      <w:pPr>
        <w:pStyle w:val="Heading2"/>
      </w:pPr>
      <w:r>
        <w:t>8.2 Permissões granulares</w:t>
      </w:r>
    </w:p>
    <w:p>
      <w:r>
        <w:t>Cada capacidade relevante deverá possuir autorização independente quando necessário. O nome do perfil não deve, sozinho, determinar tudo que um usuário pode fazer.</w:t>
      </w:r>
    </w:p>
    <w:p>
      <w:pPr>
        <w:pStyle w:val="Heading2"/>
      </w:pPr>
      <w:r>
        <w:t>8.3 Exceções individuais</w:t>
      </w:r>
    </w:p>
    <w:p>
      <w:r>
        <w:t>O modelo deve permitir concessões e restrições individuais. Um Admin poderá, por exemplo, não possuir exclusão; um Viewer poderá possuir solicitação de impressão.</w:t>
      </w:r>
    </w:p>
    <w:p>
      <w:pPr>
        <w:pStyle w:val="Heading2"/>
      </w:pPr>
      <w:r>
        <w:t>8.4 Escopo</w:t>
      </w:r>
    </w:p>
    <w:p>
      <w:r>
        <w:t>Permissões poderão ser limitadas por organização, categoria, subcategoria, tipo documental, documento ou outro escopo aprovado.</w:t>
      </w:r>
    </w:p>
    <w:p>
      <w:pPr>
        <w:pStyle w:val="Heading2"/>
      </w:pPr>
      <w:r>
        <w:t>8.5 Regra de segurança</w:t>
      </w:r>
    </w:p>
    <w:p>
      <w:r>
        <w:t>A interface pode refletir permissões, mas a autorização efetiva deverá ser verificada no servidor. Na ausência de autorização explícita, a ação deve ser negada.</w:t>
      </w:r>
    </w:p>
    <w:p>
      <w:pPr>
        <w:pStyle w:val="Heading1"/>
      </w:pPr>
      <w:r>
        <w:t>9. Usuários e Autenticação</w:t>
      </w:r>
    </w:p>
    <w:p>
      <w:pPr>
        <w:pStyle w:val="Heading2"/>
      </w:pPr>
      <w:r>
        <w:t>9.1 Dados mínimos</w:t>
      </w:r>
    </w:p>
    <w:p>
      <w:r>
        <w:t>Na primeira implantação, o cadastro básico poderá ser limitado a nome, login, credencial inicial e permissões, sem depender de e-mail, telefone ou mensageria externa.</w:t>
      </w:r>
    </w:p>
    <w:p>
      <w:pPr>
        <w:pStyle w:val="Heading2"/>
      </w:pPr>
      <w:r>
        <w:t>9.2 Criação solicitada</w:t>
      </w:r>
    </w:p>
    <w:p>
      <w:r>
        <w:t>Usuários autorizados poderão solicitar criação de conta; solicitar, aprovar, criar/ativar e alterar permissões são capacidades distintas.</w:t>
      </w:r>
    </w:p>
    <w:p>
      <w:pPr>
        <w:pStyle w:val="Heading2"/>
      </w:pPr>
      <w:r>
        <w:t>9.3 Senha inicial</w:t>
      </w:r>
    </w:p>
    <w:p>
      <w:r>
        <w:t>A política poderá definir senha inicial padrão automática, sem necessidade de digitação livre durante o cadastro. A troca no primeiro acesso será obrigatória. A credencial não deverá ser armazenada em texto puro.</w:t>
      </w:r>
    </w:p>
    <w:p>
      <w:pPr>
        <w:pStyle w:val="Heading2"/>
      </w:pPr>
      <w:r>
        <w:t>9.4 Evoluções de autenticação</w:t>
      </w:r>
    </w:p>
    <w:p>
      <w:r>
        <w:t>A arquitetura deverá permitir biometria fornecida pelo sistema operacional, crachá, código de barras/QR, PIN e identidade corporativa.</w:t>
      </w:r>
    </w:p>
    <w:p>
      <w:pPr>
        <w:pStyle w:val="Heading2"/>
      </w:pPr>
      <w:r>
        <w:t>9.5 Biometria</w:t>
      </w:r>
    </w:p>
    <w:p>
      <w:r>
        <w:t>O DocsViewer não deverá armazenar dados biométricos brutos. A validação biométrica deverá ser delegada a mecanismos seguros da plataforma.</w:t>
      </w:r>
    </w:p>
    <w:p>
      <w:pPr>
        <w:pStyle w:val="Heading2"/>
      </w:pPr>
      <w:r>
        <w:t>9.6 Crachá</w:t>
      </w:r>
    </w:p>
    <w:p>
      <w:r>
        <w:t>O crachá poderá atuar como identificador/credencial configurável. Seu formato dependerá da infraestrutura adotada pelo cliente e não será hardcoded.</w:t>
      </w:r>
    </w:p>
    <w:p>
      <w:pPr>
        <w:pStyle w:val="Heading1"/>
      </w:pPr>
      <w:r>
        <w:t>10. Gestão Documental</w:t>
      </w:r>
    </w:p>
    <w:p>
      <w:pPr>
        <w:pStyle w:val="Heading2"/>
      </w:pPr>
      <w:r>
        <w:t>10.1 Documento e revisão</w:t>
      </w:r>
    </w:p>
    <w:p>
      <w:r>
        <w:t>Documento lógico e revisão documental são conceitos distintos. A identificação, elaboração, revisão, aprovação, vigência e obsolescência documental pertencem ao processo de controle de documentos da organização e não são determinadas pelo DocsViewer. O produto recebe e disponibiliza a representação oficial correspondente à revisão definida externamente, mantendo o vínculo entre Documento, revisão informada e arquivo oficial.</w:t>
      </w:r>
    </w:p>
    <w:p>
      <w:pPr>
        <w:pStyle w:val="Heading2"/>
      </w:pPr>
      <w:r>
        <w:t>10.2 Vigência</w:t>
      </w:r>
    </w:p>
    <w:p>
      <w:r>
        <w:t>A experiência deve favorecer inequivocamente a revisão indicada como aplicável para uso corrente pelo processo documental da organização e reduzir o risco de uso indevido de versões históricas. Revisões anteriores podem permanecer vinculadas ao mesmo Documento para preservação do histórico digital, porém sua consulta deverá poder ser restringida por permissão e escopo. Usuários sem autorização para histórico não devem ser expostos a revisões anteriores ou não aplicáveis nos fluxos normais de pesquisa e navegação.</w:t>
      </w:r>
    </w:p>
    <w:p>
      <w:pPr>
        <w:pStyle w:val="Heading2"/>
      </w:pPr>
      <w:r>
        <w:t>10.3 Imutabilidade</w:t>
      </w:r>
    </w:p>
    <w:p>
      <w:r>
        <w:t>Arquivos oficiais disponibilizados devem ser tratados como registros controlados e preservados sem alteração silenciosa. Correções da representação digital sem mudança da revisão documental somente poderão ocorrer por processo controlado, com autorização, justificativa e rastreabilidade adequadas. O arquivo oficial não deve ser modificado para incorporar elementos de apresentação ou controle de cópia.</w:t>
      </w:r>
    </w:p>
    <w:p>
      <w:pPr>
        <w:pStyle w:val="Heading2"/>
      </w:pPr>
      <w:r>
        <w:t>10.4 Ferramentas de autoria</w:t>
      </w:r>
    </w:p>
    <w:p>
      <w:r>
        <w:t>Edição, elaboração, revisão e aprovação documental continuarão ocorrendo nas ferramentas e processos apropriados da organização, como Office, ZWCAD, SolidWorks, ERP, eQMS, PLM ou procedimentos documentais aplicáveis. O DocsViewer recebe, organiza e disponibiliza o resultado documental controlado; não substitui o processo formal de gestão da revisão.</w:t>
      </w:r>
    </w:p>
    <w:p>
      <w:pPr>
        <w:pStyle w:val="Heading2"/>
      </w:pPr>
      <w:r>
        <w:t>10.5 Digitalização e marca d'água</w:t>
      </w:r>
    </w:p>
    <w:p>
      <w:r>
        <w:t>Documentos digitalizados poderão ser incorporados como arquivos oficiais conforme o processo da organização. O arquivo oficial armazenado deve preservar fielmente o conteúdo recebido e não deve ser alterado permanentemente para inclusão de marca d'água do DocsViewer. Marcas d'água, carimbos e identificações de controle pertencem às representações de visualização e às cópias derivadas para download ou impressão, conforme política aplicável.</w:t>
      </w:r>
    </w:p>
    <w:p>
      <w:pPr/>
      <w:r>
        <w:t>10.6 Pesquisa textual e OCR</w:t>
      </w:r>
    </w:p>
    <w:p>
      <w:pPr/>
      <w:r>
        <w:t>A primeira versão deverá contemplar pesquisa textual em PDFs e OCR básico para documentos digitalizados, de forma a ampliar a capacidade de localização de informação sem exigir acesso aos arquivos editáveis de autoria. OCR inteligente, extração estruturada e capacidades de IA permanecem evoluções posteriores.</w:t>
      </w:r>
    </w:p>
    <w:p>
      <w:pPr/>
      <w:r>
        <w:t>10.7 Visualização e comparação</w:t>
      </w:r>
    </w:p>
    <w:p>
      <w:pPr/>
      <w:r>
        <w:t>Favoritos e visualização simultânea/lado a lado integram a direção funcional inicial, favorecendo acesso rápido e comparação entre documentos ou revisões quando autorizado. A interface deve evitar que revisões históricas concorram visualmente com a revisão indicada como aplicável para uso corrente no contexto operacional.</w:t>
      </w:r>
    </w:p>
    <w:p>
      <w:pPr>
        <w:pStyle w:val="Heading1"/>
      </w:pPr>
      <w:r>
        <w:t>11. Impressão Controlada</w:t>
      </w:r>
    </w:p>
    <w:p>
      <w:pPr>
        <w:pStyle w:val="Heading2"/>
      </w:pPr>
      <w:r>
        <w:t>11.1 Modelo flexível</w:t>
      </w:r>
    </w:p>
    <w:p>
      <w:r>
        <w:t>O produto deve permitir políticas distintas: proibição, impressão direta autorizada, impressão controlada e solicitação de impressão.</w:t>
      </w:r>
    </w:p>
    <w:p>
      <w:pPr>
        <w:pStyle w:val="Heading2"/>
      </w:pPr>
      <w:r>
        <w:t>11.2 Solicitação e aprovação</w:t>
      </w:r>
    </w:p>
    <w:p>
      <w:r>
        <w:t>Um usuário sem impressão direta poderá solicitar uma impressão específica, que poderá depender de aprovação por usuário autorizado.</w:t>
      </w:r>
    </w:p>
    <w:p>
      <w:pPr>
        <w:pStyle w:val="Heading2"/>
      </w:pPr>
      <w:r>
        <w:t>11.3 Vínculo</w:t>
      </w:r>
    </w:p>
    <w:p>
      <w:r>
        <w:t>Autorizações deverão ser vinculadas ao documento e revisão e poderão incluir validade, quantidade ou outras restrições definidas nas regras de negócio.</w:t>
      </w:r>
    </w:p>
    <w:p>
      <w:pPr>
        <w:pStyle w:val="Heading2"/>
      </w:pPr>
      <w:r>
        <w:t>11.4 Arquivo oficial</w:t>
      </w:r>
    </w:p>
    <w:p>
      <w:r>
        <w:t>Carimbos, marcas d'água e identificações de cópia devem ser aplicados à representação de visualização ou a cópias derivadas de saída, preservando o arquivo oficial armazenado sem modificação.</w:t>
      </w:r>
    </w:p>
    <w:p>
      <w:pPr>
        <w:pStyle w:val="Heading1"/>
      </w:pPr>
      <w:r>
        <w:t>12. Auditoria e Rastreabilidade</w:t>
      </w:r>
    </w:p>
    <w:p>
      <w:pPr>
        <w:pStyle w:val="Heading2"/>
      </w:pPr>
      <w:r>
        <w:t>12.1 Princípio</w:t>
      </w:r>
    </w:p>
    <w:p>
      <w:r>
        <w:t>A rastreabilidade é característica estrutural do produto.</w:t>
      </w:r>
    </w:p>
    <w:p>
      <w:pPr>
        <w:pStyle w:val="Heading2"/>
      </w:pPr>
      <w:r>
        <w:t>12.2 Eventos</w:t>
      </w:r>
    </w:p>
    <w:p>
      <w:r>
        <w:t>Login, logout, visualização, disponibilização ou retirada de disponibilização documental, impressão, download, alteração administrativa, aprovação ou rejeição de solicitações e mudanças de permissão são exemplos de eventos candidatos à auditoria, conforme requisitos e análise de risco.</w:t>
      </w:r>
    </w:p>
    <w:p>
      <w:pPr>
        <w:pStyle w:val="Heading2"/>
      </w:pPr>
      <w:r>
        <w:t>12.3 Auditoria x log</w:t>
      </w:r>
    </w:p>
    <w:p>
      <w:r>
        <w:t>Eventos de negócio/segurança devem ser separados de logs técnicos de diagnóstico.</w:t>
      </w:r>
    </w:p>
    <w:p>
      <w:pPr>
        <w:pStyle w:val="Heading2"/>
      </w:pPr>
      <w:r>
        <w:t>12.4 Contexto</w:t>
      </w:r>
    </w:p>
    <w:p>
      <w:r>
        <w:t>Quando disponível e aplicável, a auditoria deverá permitir contextualizar o evento com usuário, data/hora confiável, ação, objeto afetado, resultado e informações do dispositivo e/ou endereço IP, respeitando limitações técnicas, segurança e privacidade.</w:t>
      </w:r>
    </w:p>
    <w:p>
      <w:pPr>
        <w:pStyle w:val="Heading2"/>
      </w:pPr>
      <w:r>
        <w:t>12.5 Retenção</w:t>
      </w:r>
    </w:p>
    <w:p>
      <w:r>
        <w:t>Política de retenção e tratamento de auditoria será definida na especificação e validação; exclusão comum de histórico não deverá ser oferecida.</w:t>
      </w:r>
    </w:p>
    <w:p>
      <w:pPr>
        <w:pStyle w:val="Heading1"/>
      </w:pPr>
      <w:r>
        <w:t>13. Dispositivos e Postos de Trabalho</w:t>
      </w:r>
    </w:p>
    <w:p>
      <w:pPr>
        <w:pStyle w:val="Heading2"/>
      </w:pPr>
      <w:r>
        <w:t>13.1 Cadastro futuro/prioritário</w:t>
      </w:r>
    </w:p>
    <w:p>
      <w:r>
        <w:t>A solução deverá permitir evolução para identificação de PCs, tablets, máquinas e postos.</w:t>
      </w:r>
    </w:p>
    <w:p>
      <w:pPr>
        <w:pStyle w:val="Heading2"/>
      </w:pPr>
      <w:r>
        <w:t>13.2 Contexto operacional</w:t>
      </w:r>
    </w:p>
    <w:p>
      <w:r>
        <w:t>O contexto do posto poderá enriquecer rastreabilidade e facilitar disponibilização de documentos aplicáveis.</w:t>
      </w:r>
    </w:p>
    <w:p>
      <w:pPr>
        <w:pStyle w:val="Heading2"/>
      </w:pPr>
      <w:r>
        <w:t>13.3 Integração com ERP</w:t>
      </w:r>
    </w:p>
    <w:p>
      <w:r>
        <w:t>A primeira implantação prevê potencial integração futura com o Viman Industrial. A integração não faz parte automaticamente do núcleo inicial e dependerá de especificação própria.</w:t>
      </w:r>
    </w:p>
    <w:p>
      <w:pPr>
        <w:pStyle w:val="Heading1"/>
      </w:pPr>
      <w:r>
        <w:t>14. Backlog Estratégico</w:t>
      </w:r>
    </w:p>
    <w:p>
      <w:pPr>
        <w:pStyle w:val="ListBullet"/>
      </w:pPr>
      <w:r>
        <w:t>OCR inteligente e indexação de conteúdo.</w:t>
      </w:r>
    </w:p>
    <w:p>
      <w:pPr>
        <w:pStyle w:val="ListBullet"/>
      </w:pPr>
      <w:r>
        <w:t>Assinatura eletrônica integrada e fluxos de aprovação.</w:t>
      </w:r>
    </w:p>
    <w:p>
      <w:pPr>
        <w:pStyle w:val="ListBullet"/>
      </w:pPr>
      <w:r>
        <w:t>Inteligência Artificial para pesquisa e assistência documental.</w:t>
      </w:r>
    </w:p>
    <w:p>
      <w:pPr>
        <w:pStyle w:val="ListBullet"/>
      </w:pPr>
      <w:r>
        <w:t>Visualização Web de modelos 3D derivados de arquivos de Engenharia.</w:t>
      </w:r>
    </w:p>
    <w:p>
      <w:pPr>
        <w:pStyle w:val="ListBullet"/>
      </w:pPr>
      <w:r>
        <w:t>Integrações com ERP e outros sistemas corporativos.</w:t>
      </w:r>
    </w:p>
    <w:p>
      <w:pPr>
        <w:pStyle w:val="ListBullet"/>
      </w:pPr>
      <w:r>
        <w:t>Biometria, crachá e identidade corporativa.</w:t>
      </w:r>
    </w:p>
    <w:p>
      <w:pPr>
        <w:pStyle w:val="ListBullet"/>
      </w:pPr>
      <w:r>
        <w:t>Homologação ampliada de plataformas.</w:t>
      </w:r>
    </w:p>
    <w:p>
      <w:pPr>
        <w:pStyle w:val="ListBullet"/>
      </w:pPr>
      <w:r>
        <w:t>Campos e fluxos configuráveis adicionais.</w:t>
      </w:r>
    </w:p>
    <w:p>
      <w:r>
        <w:t>Itens de backlog representam direção estratégica. Não constituem escopo aprovado até possuírem requisito, análise de risco, especificação e planejamento correspondentes.</w:t>
      </w:r>
    </w:p>
    <w:p>
      <w:pPr>
        <w:pStyle w:val="Heading1"/>
      </w:pPr>
      <w:r>
        <w:t>15. Qualidade, Validação e Conformidade</w:t>
      </w:r>
    </w:p>
    <w:p>
      <w:pPr>
        <w:pStyle w:val="Heading2"/>
      </w:pPr>
      <w:r>
        <w:t>15.1 Validação desde o início</w:t>
      </w:r>
    </w:p>
    <w:p>
      <w:r>
        <w:t>O DocsViewer 2.0 será desenvolvido com documentação, rastreabilidade e evidências desde o início do ciclo de vida, evitando abordagem de 'validar depois de pronto'.</w:t>
      </w:r>
    </w:p>
    <w:p>
      <w:pPr>
        <w:pStyle w:val="Heading2"/>
      </w:pPr>
      <w:r>
        <w:t>15.2 Abordagem GAMP 5</w:t>
      </w:r>
    </w:p>
    <w:p>
      <w:r>
        <w:t>A estratégia de validação adotará princípios de ciclo de vida e abordagem baseada em risco compatíveis com GAMP 5. A classificação e os entregáveis formais serão consolidados no Plano Mestre de Validação.</w:t>
      </w:r>
    </w:p>
    <w:p>
      <w:pPr>
        <w:pStyle w:val="Heading2"/>
      </w:pPr>
      <w:r>
        <w:t>15.3 Ambiente regulado</w:t>
      </w:r>
    </w:p>
    <w:p>
      <w:r>
        <w:t>O produto deverá ser capaz de apoiar implantações em organizações reguladas. A conformidade de uma implantação dependerá do uso pretendido, configuração, infraestrutura, procedimentos, validação e responsabilidades do cliente; não será presumida apenas pela existência do software.</w:t>
      </w:r>
    </w:p>
    <w:p>
      <w:pPr>
        <w:pStyle w:val="Heading2"/>
      </w:pPr>
      <w:r>
        <w:t>15.4 Rastreabilidade documental</w:t>
      </w:r>
    </w:p>
    <w:p>
      <w:r>
        <w:t>Necessidades, requisitos, regras, especificações, riscos, implementação, testes e evidências deverão ser relacionáveis por identificadores controlados.</w:t>
      </w:r>
    </w:p>
    <w:p>
      <w:pPr>
        <w:pStyle w:val="Heading2"/>
      </w:pPr>
      <w:r>
        <w:t>15.5 Mudanças</w:t>
      </w:r>
    </w:p>
    <w:p>
      <w:r>
        <w:t>Mudanças relevantes deverão ser avaliadas quanto a impacto em requisitos, risco, testes, documentação e estado validado.</w:t>
      </w:r>
    </w:p>
    <w:p>
      <w:pPr>
        <w:pStyle w:val="Heading1"/>
      </w:pPr>
      <w:r>
        <w:t>16. Governança do Projeto</w:t>
      </w:r>
    </w:p>
    <w:p>
      <w:pPr>
        <w:pStyle w:val="Heading2"/>
      </w:pPr>
      <w:r>
        <w:t>16.1 Desenvolvimento orientado por requisitos</w:t>
      </w:r>
    </w:p>
    <w:p>
      <w:r>
        <w:t>Funcionalidade não deve avançar para implementação sem definição suficiente de necessidade, requisito/regra e critérios de aceite.</w:t>
      </w:r>
    </w:p>
    <w:p>
      <w:pPr>
        <w:pStyle w:val="Heading2"/>
      </w:pPr>
      <w:r>
        <w:t>16.2 ADR</w:t>
      </w:r>
    </w:p>
    <w:p>
      <w:r>
        <w:t>Decisões arquiteturais relevantes deverão ser registradas em Architecture Decision Records.</w:t>
      </w:r>
    </w:p>
    <w:p>
      <w:pPr>
        <w:pStyle w:val="Heading2"/>
      </w:pPr>
      <w:r>
        <w:t>16.3 Git</w:t>
      </w:r>
    </w:p>
    <w:p>
      <w:r>
        <w:t>O desenvolvimento utilizará controle de versão, branches de tarefa, revisão antes de integração e histórico de mudanças.</w:t>
      </w:r>
    </w:p>
    <w:p>
      <w:pPr>
        <w:pStyle w:val="Heading2"/>
      </w:pPr>
      <w:r>
        <w:t>16.4 Desenvolvimento assistido por IA</w:t>
      </w:r>
    </w:p>
    <w:p>
      <w:r>
        <w:t>Ferramentas de IA podem apoiar documentação, implementação, testes e revisão, mas não possuem autoridade para aprovar requisitos, riscos, validação ou mudanças de escopo. Decisões humanas devem permanecer identificáveis.</w:t>
      </w:r>
    </w:p>
    <w:p>
      <w:pPr>
        <w:pStyle w:val="Heading2"/>
      </w:pPr>
      <w:r>
        <w:t>16.5 Desenvolvimento paralelo</w:t>
      </w:r>
    </w:p>
    <w:p>
      <w:r>
        <w:t>Cada tarefa deverá possuir identificador, escopo e responsável, evitando implementações concorrentes da mesma capacidade.</w:t>
      </w:r>
    </w:p>
    <w:p>
      <w:pPr>
        <w:pStyle w:val="Heading1"/>
      </w:pPr>
      <w:r>
        <w:t>17. Estrutura Documental do Ciclo de Vida</w:t>
      </w:r>
    </w:p>
    <w:p>
      <w:pPr>
        <w:pStyle w:val="ListBullet"/>
      </w:pPr>
      <w:r>
        <w:t>DV2-000 - Product Vision</w:t>
      </w:r>
    </w:p>
    <w:p>
      <w:pPr>
        <w:pStyle w:val="ListBullet"/>
      </w:pPr>
      <w:r>
        <w:t>DV2-001 - Documento de Fundação</w:t>
      </w:r>
    </w:p>
    <w:p>
      <w:pPr>
        <w:pStyle w:val="ListBullet"/>
      </w:pPr>
      <w:r>
        <w:t>DV2-PMP-001 - Plano Mestre do Projeto</w:t>
      </w:r>
    </w:p>
    <w:p>
      <w:pPr>
        <w:pStyle w:val="ListBullet"/>
      </w:pPr>
      <w:r>
        <w:t>DV2-VMP-001 - Plano Mestre de Validação</w:t>
      </w:r>
    </w:p>
    <w:p>
      <w:pPr>
        <w:pStyle w:val="ListBullet"/>
      </w:pPr>
      <w:r>
        <w:t>DV2-URS-001 - Especificação de Requisitos do Usuário</w:t>
      </w:r>
    </w:p>
    <w:p>
      <w:pPr>
        <w:pStyle w:val="ListBullet"/>
      </w:pPr>
      <w:r>
        <w:t>DV2-BRN-001 - Regras de Negócio</w:t>
      </w:r>
    </w:p>
    <w:p>
      <w:pPr>
        <w:pStyle w:val="ListBullet"/>
      </w:pPr>
      <w:r>
        <w:t>DV2-FRS-001 - Especificação Funcional</w:t>
      </w:r>
    </w:p>
    <w:p>
      <w:pPr>
        <w:pStyle w:val="ListBullet"/>
      </w:pPr>
      <w:r>
        <w:t>DV2-NFR-001 - Requisitos Não Funcionais</w:t>
      </w:r>
    </w:p>
    <w:p>
      <w:pPr>
        <w:pStyle w:val="ListBullet"/>
      </w:pPr>
      <w:r>
        <w:t>DV2-SDS-001 - Arquitetura e Design</w:t>
      </w:r>
    </w:p>
    <w:p>
      <w:pPr>
        <w:pStyle w:val="ListBullet"/>
      </w:pPr>
      <w:r>
        <w:t>Documentação de dados, integrações, segurança e configuração</w:t>
      </w:r>
    </w:p>
    <w:p>
      <w:pPr>
        <w:pStyle w:val="ListBullet"/>
      </w:pPr>
      <w:r>
        <w:t>Análise de Riscos e Matriz de Rastreabilidade</w:t>
      </w:r>
    </w:p>
    <w:p>
      <w:pPr>
        <w:pStyle w:val="ListBullet"/>
      </w:pPr>
      <w:r>
        <w:t>Planos, protocolos e evidências de testes</w:t>
      </w:r>
    </w:p>
    <w:p>
      <w:pPr>
        <w:pStyle w:val="ListBullet"/>
      </w:pPr>
      <w:r>
        <w:t>QI, QO e QD conforme estratégia aprovada</w:t>
      </w:r>
    </w:p>
    <w:p>
      <w:pPr>
        <w:pStyle w:val="ListBullet"/>
      </w:pPr>
      <w:r>
        <w:t>Relatório de Validação</w:t>
      </w:r>
    </w:p>
    <w:p>
      <w:pPr>
        <w:pStyle w:val="ListBullet"/>
      </w:pPr>
      <w:r>
        <w:t>Documentação de operação, backup, contingência e manutenção</w:t>
      </w:r>
    </w:p>
    <w:p>
      <w:pPr>
        <w:pStyle w:val="ListBullet"/>
      </w:pPr>
      <w:r>
        <w:t>Registros de mudança e releases</w:t>
      </w:r>
    </w:p>
    <w:p>
      <w:pPr>
        <w:pStyle w:val="Heading1"/>
      </w:pPr>
      <w:r>
        <w:t>18. Princípios de Fundação</w:t>
      </w:r>
    </w:p>
    <w:p>
      <w:pPr>
        <w:pStyle w:val="ListBullet"/>
      </w:pPr>
      <w:r>
        <w:t>A informação correta deve ser favorecida no local e momento de uso.</w:t>
      </w:r>
    </w:p>
    <w:p>
      <w:pPr>
        <w:pStyle w:val="ListBullet"/>
      </w:pPr>
      <w:r>
        <w:t>Segurança e rastreabilidade devem ser proporcionais ao risco sem criar burocracia desnecessária.</w:t>
      </w:r>
    </w:p>
    <w:p>
      <w:pPr>
        <w:pStyle w:val="ListBullet"/>
      </w:pPr>
      <w:r>
        <w:t>O sistema deve prevenir erros previsíveis quando houver mecanismo razoável para fazê-lo.</w:t>
      </w:r>
    </w:p>
    <w:p>
      <w:pPr>
        <w:pStyle w:val="ListBullet"/>
      </w:pPr>
      <w:r>
        <w:t>A revisão indicada pelo processo documental como aplicável para uso corrente deve ser a escolha natural nos fluxos operacionais.</w:t>
      </w:r>
    </w:p>
    <w:p>
      <w:pPr>
        <w:pStyle w:val="ListBullet"/>
      </w:pPr>
      <w:r>
        <w:t>Toda funcionalidade deve resolver uma necessidade identificável.</w:t>
      </w:r>
    </w:p>
    <w:p>
      <w:pPr>
        <w:pStyle w:val="ListBullet"/>
      </w:pPr>
      <w:r>
        <w:t>A consulta deve permanecer simples; a complexidade de controle deve ficar predominantemente nos bastidores.</w:t>
      </w:r>
    </w:p>
    <w:p>
      <w:pPr>
        <w:pStyle w:val="ListBullet"/>
      </w:pPr>
      <w:r>
        <w:t>O produto deve integrar sistemas em vez de criar novas ilhas de informação.</w:t>
      </w:r>
    </w:p>
    <w:p>
      <w:pPr>
        <w:pStyle w:val="ListBullet"/>
      </w:pPr>
      <w:r>
        <w:t>Configurar antes de customizar.</w:t>
      </w:r>
    </w:p>
    <w:p>
      <w:pPr>
        <w:pStyle w:val="ListBullet"/>
      </w:pPr>
      <w:r>
        <w:t>Qualidade deve nascer com o produto.</w:t>
      </w:r>
    </w:p>
    <w:p>
      <w:pPr>
        <w:pStyle w:val="ListBullet"/>
      </w:pPr>
      <w:r>
        <w:t>O produto deve permanecer compreensível ao longo de sua evolução.</w:t>
      </w:r>
    </w:p>
    <w:p>
      <w:pPr>
        <w:pStyle w:val="Heading1"/>
      </w:pPr>
      <w:r>
        <w:t>19. Premissas e Restrições Iniciais</w:t>
      </w:r>
    </w:p>
    <w:p>
      <w:pPr>
        <w:pStyle w:val="ListBullet"/>
      </w:pPr>
      <w:r>
        <w:t>A primeira implantação ocorrerá prioritariamente em infraestrutura corporativa/interna, sem obrigatoriedade de nuvem pública.</w:t>
      </w:r>
    </w:p>
    <w:p>
      <w:pPr>
        <w:pStyle w:val="ListBullet"/>
      </w:pPr>
      <w:r>
        <w:t>O armazenamento documental poderá utilizar servidor/NAS corporativo.</w:t>
      </w:r>
    </w:p>
    <w:p>
      <w:pPr>
        <w:pStyle w:val="ListBullet"/>
      </w:pPr>
      <w:r>
        <w:t>O banco relacional inicial será da família Microsoft SQL Server, sujeito à confirmação técnica e de licenciamento/capacidade da implantação.</w:t>
      </w:r>
    </w:p>
    <w:p>
      <w:pPr>
        <w:pStyle w:val="ListBullet"/>
      </w:pPr>
      <w:r>
        <w:t>Windows e Android são as prioridades iniciais.</w:t>
      </w:r>
    </w:p>
    <w:p>
      <w:pPr>
        <w:pStyle w:val="ListBullet"/>
      </w:pPr>
      <w:r>
        <w:t>A edição documental não integra o escopo inicial.</w:t>
      </w:r>
    </w:p>
    <w:p>
      <w:pPr>
        <w:pStyle w:val="ListBullet"/>
      </w:pPr>
      <w:r>
        <w:t>Recursos futuros não devem ser implementados antecipadamente apenas por estarem no roadmap.</w:t>
      </w:r>
    </w:p>
    <w:p>
      <w:pPr>
        <w:pStyle w:val="ListBullet"/>
      </w:pPr>
      <w:r>
        <w:t>Requisitos específicos de cliente devem ser isolados em configuração ou documentação de implantação.</w:t>
      </w:r>
    </w:p>
    <w:p>
      <w:pPr>
        <w:pStyle w:val="ListBullet"/>
      </w:pPr>
      <w:r>
        <w:t>Segredos, credenciais e dados sensíveis não devem ser incorporados ao código-fonte.</w:t>
      </w:r>
    </w:p>
    <w:p>
      <w:pPr>
        <w:pStyle w:val="Heading1"/>
      </w:pPr>
      <w:r>
        <w:t>20. Pontos Abertos para Decisão</w:t>
      </w:r>
    </w:p>
    <w:p>
      <w:pPr>
        <w:pStyle w:val="ListBullet"/>
      </w:pPr>
      <w:r>
        <w:t>Formalização e execução do ADR de migração da fundação técnica para .NET 10 LTS.</w:t>
      </w:r>
    </w:p>
    <w:p>
      <w:pPr>
        <w:pStyle w:val="ListBullet"/>
      </w:pPr>
      <w:r>
        <w:t>Definição final da estratégia de tenancy/multi-organização.</w:t>
      </w:r>
    </w:p>
    <w:p>
      <w:pPr>
        <w:pStyle w:val="ListBullet"/>
      </w:pPr>
      <w:r>
        <w:t>Definição detalhada do modelo de incorporação, conferência, disponibilização, retirada de uso e consulta histórica no DocsViewer, sem transferir ao produto a responsabilidade pela elaboração, revisão ou aprovação documental.</w:t>
      </w:r>
    </w:p>
    <w:p>
      <w:pPr>
        <w:pStyle w:val="ListBullet"/>
      </w:pPr>
      <w:r>
        <w:t>Política definitiva de senha inicial por implantação.</w:t>
      </w:r>
    </w:p>
    <w:p>
      <w:pPr>
        <w:pStyle w:val="ListBullet"/>
      </w:pPr>
      <w:r>
        <w:t>Formato e tecnologia dos crachás na primeira implantação.</w:t>
      </w:r>
    </w:p>
    <w:p>
      <w:pPr>
        <w:pStyle w:val="ListBullet"/>
      </w:pPr>
      <w:r>
        <w:t>Regras completas de impressão e autorização.</w:t>
      </w:r>
    </w:p>
    <w:p>
      <w:pPr>
        <w:pStyle w:val="ListBullet"/>
      </w:pPr>
      <w:r>
        <w:t>Política de retenção de auditoria e logs.</w:t>
      </w:r>
    </w:p>
    <w:p>
      <w:pPr>
        <w:pStyle w:val="ListBullet"/>
      </w:pPr>
      <w:r>
        <w:t>Topologia de infraestrutura e backup da primeira implantação.</w:t>
      </w:r>
    </w:p>
    <w:p>
      <w:pPr>
        <w:pStyle w:val="ListBullet"/>
      </w:pPr>
      <w:r>
        <w:t>Escopo e método de integração com Viman Industrial.</w:t>
      </w:r>
    </w:p>
    <w:p>
      <w:pPr>
        <w:pStyle w:val="ListBullet"/>
      </w:pPr>
      <w:r>
        <w:t>Critérios de homologação para Linux, macOS e iOS.</w:t>
      </w:r>
    </w:p>
    <w:p>
      <w:pPr>
        <w:pStyle w:val="ListBullet"/>
      </w:pPr>
      <w:r>
        <w:t>Definição da estratégia de assinatura eletrônica/digital futura.</w:t>
      </w:r>
    </w:p>
    <w:p>
      <w:pPr>
        <w:pStyle w:val="Heading1"/>
      </w:pPr>
      <w:r>
        <w:t>21. Critério para Evolução da Fundação</w:t>
      </w:r>
    </w:p>
    <w:p>
      <w:r>
        <w:t>Este documento deverá ser revisado quando houver mudança material na identidade, limites, estratégia arquitetural, governança, plataformas prioritárias ou princípios de ciclo de vida do produto.</w:t>
      </w:r>
    </w:p>
    <w:p>
      <w:r>
        <w:t>Detalhes funcionais não devem ser adicionados à Fundação apenas para evitar a criação ou atualização do documento apropriado. A Fundação deve permanecer estável, compreensível e suficientemente abstrata para orientar o projeto sem substituir suas especificações.</w:t>
      </w:r>
    </w:p>
    <w:p>
      <w:pPr>
        <w:pStyle w:val="Heading1"/>
      </w:pPr>
      <w:r>
        <w:t>22. Próximo Marco</w:t>
      </w:r>
    </w:p>
    <w:p>
      <w:r>
        <w:t>Após a emissão da versão 0.3 Draft desta Fundação, o próximo marco documental será o DV2-PMP-001 - Plano Mestre do Projeto, seguido do DV2-VMP-001 - Plano Mestre de Validação.</w:t>
      </w:r>
    </w:p>
    <w:p>
      <w:r>
        <w:t>Em paralelo, a DV2-URS-001 continuará sendo consolidada a partir das necessidades já identificadas, sem antecipar implementação de funcionalidades ainda não suficientemente especificadas.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DV2-001 | DocsViewer 2.0 | v0.4 Draft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DV2-001 — Documento de Fundação do Projeto</dc:title>
  <dc:subject>Fundação / Governança do Produto — v0.4.2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