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9.xml" ContentType="application/vnd.openxmlformats-officedocument.wordprocessingml.footer+xml"/>
  <Override PartName="/word/footer2.xml" ContentType="application/vnd.openxmlformats-officedocument.wordprocessingml.footer+xml"/>
  <Override PartName="/word/footer8.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10.xml" ContentType="application/vnd.openxmlformats-officedocument.wordprocessingml.footer+xml"/>
  <Override PartName="/word/footer7.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ettings.xml" ContentType="application/vnd.openxmlformats-officedocument.wordprocessingml.settings+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footer17.xml" ContentType="application/vnd.openxmlformats-officedocument.wordprocessingml.footer+xml"/>
  <Override PartName="/word/footer14.xml" ContentType="application/vnd.openxmlformats-officedocument.wordprocessingml.footer+xml"/>
  <Override PartName="/word/footer12.xml" ContentType="application/vnd.openxmlformats-officedocument.wordprocessingml.footer+xml"/>
  <Override PartName="/word/footer18.xml" ContentType="application/vnd.openxmlformats-officedocument.wordprocessingml.footer+xml"/>
  <Override PartName="/word/footer15.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footer16.xml" ContentType="application/vnd.openxmlformats-officedocument.wordprocessingml.footer+xml"/>
  <Override PartName="/word/footer2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pPr>
      <w:r>
        <w:rPr>
          <w:b/>
          <w:bCs/>
          <w:color w:val="2E75B6"/>
          <w:sz w:val="24"/>
          <w:szCs w:val="24"/>
        </w:rPr>
        <w:t>FIAP POSTECH — SOFTWARE ARCHITECTURE (SOAT)</w:t>
      </w:r>
    </w:p>
    <w:p>
      <w:pPr>
        <w:pStyle w:val="Normal"/>
        <w:spacing w:before="260" w:after="80"/>
        <w:jc w:val="center"/>
        <w:rPr>
          <w:b/>
          <w:bCs/>
          <w:color w:val="1F3864"/>
          <w:sz w:val="40"/>
          <w:szCs w:val="40"/>
        </w:rPr>
      </w:pPr>
      <w:r>
        <w:rPr>
          <w:b/>
          <w:bCs/>
          <w:color w:val="1F3864"/>
          <w:sz w:val="40"/>
          <w:szCs w:val="40"/>
        </w:rPr>
      </w:r>
    </w:p>
    <w:p>
      <w:pPr>
        <w:pStyle w:val="Normal"/>
        <w:spacing w:before="260" w:after="80"/>
        <w:jc w:val="center"/>
        <w:rPr>
          <w:b/>
          <w:bCs/>
          <w:color w:val="1F3864"/>
          <w:sz w:val="40"/>
          <w:szCs w:val="40"/>
        </w:rPr>
      </w:pPr>
      <w:r>
        <w:rPr>
          <w:b/>
          <w:bCs/>
          <w:color w:val="1F3864"/>
          <w:sz w:val="40"/>
          <w:szCs w:val="40"/>
        </w:rPr>
        <w:t>Tech Challenge — Fase 3</w:t>
      </w:r>
    </w:p>
    <w:p>
      <w:pPr>
        <w:pStyle w:val="Normal"/>
        <w:spacing w:before="0" w:after="200"/>
        <w:jc w:val="center"/>
        <w:rPr/>
      </w:pPr>
      <w:r>
        <w:rPr>
          <w:b/>
          <w:bCs/>
          <w:color w:val="5B6B84"/>
          <w:sz w:val="26"/>
          <w:szCs w:val="26"/>
        </w:rPr>
        <w:t>Documento de Entrega</w:t>
      </w:r>
    </w:p>
    <w:p>
      <w:pPr>
        <w:pStyle w:val="Normal"/>
        <w:spacing w:before="200" w:after="0"/>
        <w:jc w:val="center"/>
        <w:rPr>
          <w:i/>
          <w:iCs/>
          <w:color w:val="1A2433"/>
          <w:sz w:val="24"/>
          <w:szCs w:val="24"/>
        </w:rPr>
      </w:pPr>
      <w:r>
        <w:rPr>
          <w:i/>
          <w:iCs/>
          <w:color w:val="1A2433"/>
          <w:sz w:val="24"/>
          <w:szCs w:val="24"/>
        </w:rPr>
      </w:r>
    </w:p>
    <w:p>
      <w:pPr>
        <w:pStyle w:val="Normal"/>
        <w:spacing w:before="200" w:after="0"/>
        <w:jc w:val="center"/>
        <w:rPr>
          <w:i/>
          <w:iCs/>
          <w:color w:val="1A2433"/>
          <w:sz w:val="24"/>
          <w:szCs w:val="24"/>
        </w:rPr>
      </w:pPr>
      <w:r>
        <w:rPr>
          <w:i/>
          <w:iCs/>
          <w:color w:val="1A2433"/>
          <w:sz w:val="24"/>
          <w:szCs w:val="24"/>
        </w:rPr>
      </w:r>
    </w:p>
    <w:p>
      <w:pPr>
        <w:pStyle w:val="Normal"/>
        <w:spacing w:before="200" w:after="0"/>
        <w:jc w:val="center"/>
        <w:rPr>
          <w:i/>
          <w:iCs/>
          <w:color w:val="1A2433"/>
          <w:sz w:val="24"/>
          <w:szCs w:val="24"/>
        </w:rPr>
      </w:pPr>
      <w:r>
        <w:rPr>
          <w:i/>
          <w:iCs/>
          <w:color w:val="1A2433"/>
          <w:sz w:val="24"/>
          <w:szCs w:val="24"/>
        </w:rPr>
        <w:t>Sistema de Gestão de Oficina Mecânica</w:t>
      </w:r>
    </w:p>
    <w:p>
      <w:pPr>
        <w:pStyle w:val="Normal"/>
        <w:spacing w:before="0" w:after="100"/>
        <w:jc w:val="center"/>
        <w:rPr/>
      </w:pPr>
      <w:r>
        <w:rPr>
          <w:color w:val="5B6B84"/>
          <w:sz w:val="20"/>
          <w:szCs w:val="20"/>
        </w:rPr>
        <w:t>Evolução para nuvem, API Gateway, autenticação serverless e observabilidade — Azure · API Management · Azure Functions · AKS · Datadog</w:t>
      </w:r>
    </w:p>
    <w:p>
      <w:pPr>
        <w:pStyle w:val="Normal"/>
        <w:spacing w:before="1400" w:after="0"/>
        <w:rPr/>
      </w:pPr>
      <w:r>
        <w:rPr/>
      </w:r>
    </w:p>
    <w:p>
      <w:pPr>
        <w:pStyle w:val="Normal"/>
        <w:spacing w:before="1400" w:after="0"/>
        <w:rPr/>
      </w:pPr>
      <w:r>
        <w:rPr/>
      </w:r>
    </w:p>
    <w:p>
      <w:pPr>
        <w:pStyle w:val="Normal"/>
        <w:spacing w:before="1400" w:after="0"/>
        <w:rPr/>
      </w:pPr>
      <w:r>
        <w:rPr/>
      </w:r>
    </w:p>
    <w:p>
      <w:pPr>
        <w:pStyle w:val="Normal"/>
        <w:spacing w:before="1400" w:after="0"/>
        <w:rPr/>
      </w:pPr>
      <w:r>
        <w:rPr/>
      </w:r>
    </w:p>
    <w:p>
      <w:pPr>
        <w:pStyle w:val="Normal"/>
        <w:spacing w:before="0" w:after="0"/>
        <w:jc w:val="center"/>
        <w:rPr/>
        <w:sectPr>
          <w:type w:val="nextPage"/>
          <w:pgSz w:w="11906" w:h="16838"/>
          <w:pgMar w:left="1440" w:right="1440" w:gutter="0" w:header="0" w:top="1440" w:footer="0" w:bottom="1200"/>
          <w:pgNumType w:fmt="decimal"/>
          <w:formProt w:val="false"/>
          <w:textDirection w:val="lrTb"/>
          <w:docGrid w:type="default" w:linePitch="360" w:charSpace="0"/>
        </w:sectPr>
      </w:pPr>
      <w:r>
        <w:rPr>
          <w:color w:val="1A2433"/>
          <w:sz w:val="20"/>
          <w:szCs w:val="20"/>
        </w:rPr>
        <w:t>2026</w:t>
      </w:r>
    </w:p>
    <w:p>
      <w:pPr>
        <w:pStyle w:val="Heading1"/>
        <w:pBdr>
          <w:bottom w:val="single" w:sz="6" w:space="4" w:color="1F3864"/>
        </w:pBdr>
        <w:spacing w:before="400" w:after="200"/>
        <w:rPr/>
      </w:pPr>
      <w:r>
        <w:rPr>
          <w:b/>
          <w:bCs/>
          <w:color w:val="1F3864"/>
          <w:sz w:val="32"/>
          <w:szCs w:val="32"/>
        </w:rPr>
        <w:t>1. Participantes</w:t>
      </w:r>
    </w:p>
    <w:tbl>
      <w:tblPr>
        <w:tblW w:w="9326" w:type="dxa"/>
        <w:jc w:val="start"/>
        <w:tblInd w:w="0" w:type="dxa"/>
        <w:tblLayout w:type="fixed"/>
        <w:tblCellMar>
          <w:top w:w="80" w:type="dxa"/>
          <w:start w:w="100" w:type="dxa"/>
          <w:bottom w:w="80" w:type="dxa"/>
          <w:end w:w="100" w:type="dxa"/>
        </w:tblCellMar>
      </w:tblPr>
      <w:tblGrid>
        <w:gridCol w:w="3800"/>
        <w:gridCol w:w="2800"/>
        <w:gridCol w:w="2726"/>
      </w:tblGrid>
      <w:tr>
        <w:trPr>
          <w:tblHeader w:val="true"/>
        </w:trPr>
        <w:tc>
          <w:tcPr>
            <w:tcW w:w="38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Nome Completo</w:t>
            </w:r>
          </w:p>
        </w:tc>
        <w:tc>
          <w:tcPr>
            <w:tcW w:w="28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Username Discord</w:t>
            </w:r>
          </w:p>
        </w:tc>
        <w:tc>
          <w:tcPr>
            <w:tcW w:w="2726"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RM</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Guinter Zaffalon</w:t>
            </w:r>
          </w:p>
        </w:tc>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zaffinha</w:t>
            </w:r>
          </w:p>
        </w:tc>
        <w:tc>
          <w:tcPr>
            <w:tcW w:w="2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rm372056</w:t>
            </w:r>
          </w:p>
        </w:tc>
      </w:tr>
      <w:tr>
        <w:trPr/>
        <w:tc>
          <w:tcPr>
            <w:tcW w:w="3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Gustavo Gouveia Olier Silva</w:t>
            </w:r>
          </w:p>
        </w:tc>
        <w:tc>
          <w:tcPr>
            <w:tcW w:w="2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gustavolierr</w:t>
            </w:r>
          </w:p>
        </w:tc>
        <w:tc>
          <w:tcPr>
            <w:tcW w:w="2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rm374227</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Rafael Hernane Ramalho</w:t>
            </w:r>
          </w:p>
        </w:tc>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ramalho.rafa</w:t>
            </w:r>
          </w:p>
        </w:tc>
        <w:tc>
          <w:tcPr>
            <w:tcW w:w="2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rm367128</w:t>
            </w:r>
          </w:p>
        </w:tc>
      </w:tr>
    </w:tbl>
    <w:p>
      <w:pPr>
        <w:pStyle w:val="Normal"/>
        <w:spacing w:before="0" w:after="300"/>
        <w:rPr/>
      </w:pPr>
      <w:r>
        <w:rPr/>
      </w:r>
    </w:p>
    <w:p>
      <w:pPr>
        <w:pStyle w:val="Heading1"/>
        <w:pBdr>
          <w:bottom w:val="single" w:sz="6" w:space="4" w:color="1F3864"/>
        </w:pBdr>
        <w:spacing w:before="400" w:after="200"/>
        <w:rPr/>
      </w:pPr>
      <w:r>
        <w:rPr>
          <w:b/>
          <w:bCs/>
          <w:color w:val="1F3864"/>
          <w:sz w:val="32"/>
          <w:szCs w:val="32"/>
        </w:rPr>
        <w:t>2. Links do Projeto</w:t>
      </w:r>
    </w:p>
    <w:tbl>
      <w:tblPr>
        <w:tblW w:w="9326" w:type="dxa"/>
        <w:jc w:val="start"/>
        <w:tblInd w:w="0" w:type="dxa"/>
        <w:tblLayout w:type="fixed"/>
        <w:tblCellMar>
          <w:top w:w="80" w:type="dxa"/>
          <w:start w:w="100" w:type="dxa"/>
          <w:bottom w:w="80" w:type="dxa"/>
          <w:end w:w="100" w:type="dxa"/>
        </w:tblCellMar>
      </w:tblPr>
      <w:tblGrid>
        <w:gridCol w:w="4400"/>
        <w:gridCol w:w="4926"/>
      </w:tblGrid>
      <w:tr>
        <w:trPr>
          <w:tblHeader w:val="true"/>
        </w:trPr>
        <w:tc>
          <w:tcPr>
            <w:tcW w:w="44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Recurso</w:t>
            </w:r>
          </w:p>
        </w:tc>
        <w:tc>
          <w:tcPr>
            <w:tcW w:w="4926"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Link</w:t>
            </w:r>
          </w:p>
        </w:tc>
      </w:tr>
      <w:tr>
        <w:trPr/>
        <w:tc>
          <w:tcPr>
            <w:tcW w:w="4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Repositório — API principal</w:t>
            </w:r>
          </w:p>
        </w:tc>
        <w:tc>
          <w:tcPr>
            <w:tcW w:w="49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hyperlink r:id="rId2">
              <w:r>
                <w:rPr>
                  <w:rStyle w:val="Hyperlink"/>
                  <w:b w:val="false"/>
                  <w:bCs w:val="false"/>
                  <w:color w:val="1A2433"/>
                  <w:sz w:val="19"/>
                  <w:szCs w:val="19"/>
                </w:rPr>
                <w:t>https://github.com/Gustavollier/postech-app</w:t>
              </w:r>
            </w:hyperlink>
            <w:r>
              <w:rPr>
                <w:b w:val="false"/>
                <w:bCs w:val="false"/>
                <w:color w:val="1A2433"/>
                <w:sz w:val="19"/>
                <w:szCs w:val="19"/>
              </w:rPr>
              <w:t xml:space="preserve"> </w:t>
            </w:r>
          </w:p>
        </w:tc>
      </w:tr>
      <w:tr>
        <w:trPr/>
        <w:tc>
          <w:tcPr>
            <w:tcW w:w="44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Repositório — Function de autenticação</w:t>
            </w:r>
          </w:p>
        </w:tc>
        <w:tc>
          <w:tcPr>
            <w:tcW w:w="49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hyperlink r:id="rId3">
              <w:r>
                <w:rPr>
                  <w:rStyle w:val="Hyperlink"/>
                  <w:b w:val="false"/>
                  <w:bCs w:val="false"/>
                  <w:color w:val="1A2433"/>
                  <w:sz w:val="19"/>
                  <w:szCs w:val="19"/>
                </w:rPr>
                <w:t>https://github.com/Gustavollier/postech-auth-function</w:t>
              </w:r>
            </w:hyperlink>
            <w:r>
              <w:rPr>
                <w:b w:val="false"/>
                <w:bCs w:val="false"/>
                <w:color w:val="1A2433"/>
                <w:sz w:val="19"/>
                <w:szCs w:val="19"/>
              </w:rPr>
              <w:t xml:space="preserve"> </w:t>
            </w:r>
          </w:p>
        </w:tc>
      </w:tr>
      <w:tr>
        <w:trPr/>
        <w:tc>
          <w:tcPr>
            <w:tcW w:w="4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Repositório — Infraestrutura de banco de dados</w:t>
            </w:r>
          </w:p>
        </w:tc>
        <w:tc>
          <w:tcPr>
            <w:tcW w:w="49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hyperlink r:id="rId4">
              <w:r>
                <w:rPr>
                  <w:rStyle w:val="Hyperlink"/>
                  <w:b w:val="false"/>
                  <w:bCs w:val="false"/>
                  <w:color w:val="1A2433"/>
                  <w:sz w:val="19"/>
                  <w:szCs w:val="19"/>
                </w:rPr>
                <w:t>https://github.com/Gustavollier/postech-infra-db</w:t>
              </w:r>
            </w:hyperlink>
            <w:r>
              <w:rPr>
                <w:b w:val="false"/>
                <w:bCs w:val="false"/>
                <w:color w:val="1A2433"/>
                <w:sz w:val="19"/>
                <w:szCs w:val="19"/>
              </w:rPr>
              <w:t xml:space="preserve"> </w:t>
            </w:r>
          </w:p>
        </w:tc>
      </w:tr>
      <w:tr>
        <w:trPr/>
        <w:tc>
          <w:tcPr>
            <w:tcW w:w="44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Repositório — Infraestrutura de nuvem (AKS, APIM, observabilidade)</w:t>
            </w:r>
          </w:p>
        </w:tc>
        <w:tc>
          <w:tcPr>
            <w:tcW w:w="49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hyperlink r:id="rId5">
              <w:r>
                <w:rPr>
                  <w:rStyle w:val="Hyperlink"/>
                  <w:b w:val="false"/>
                  <w:bCs w:val="false"/>
                  <w:color w:val="1A2433"/>
                  <w:sz w:val="19"/>
                  <w:szCs w:val="19"/>
                </w:rPr>
                <w:t>https://github.com/Gustavollier/postech-infra-k8s</w:t>
              </w:r>
            </w:hyperlink>
            <w:r>
              <w:rPr>
                <w:b w:val="false"/>
                <w:bCs w:val="false"/>
                <w:color w:val="1A2433"/>
                <w:sz w:val="19"/>
                <w:szCs w:val="19"/>
              </w:rPr>
              <w:t xml:space="preserve"> </w:t>
            </w:r>
          </w:p>
        </w:tc>
      </w:tr>
      <w:tr>
        <w:trPr/>
        <w:tc>
          <w:tcPr>
            <w:tcW w:w="4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Collection das APIs (OpenAPI/Swagger)</w:t>
            </w:r>
          </w:p>
        </w:tc>
        <w:tc>
          <w:tcPr>
            <w:tcW w:w="49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hyperlink r:id="rId6">
              <w:r>
                <w:rPr>
                  <w:rStyle w:val="Hyperlink"/>
                  <w:b w:val="false"/>
                  <w:bCs w:val="false"/>
                  <w:color w:val="1A2433"/>
                  <w:sz w:val="19"/>
                  <w:szCs w:val="19"/>
                  <w:shd w:fill="auto" w:val="clear"/>
                </w:rPr>
                <w:t>http://52.186.34.146/swagger/index.html</w:t>
              </w:r>
            </w:hyperlink>
            <w:r>
              <w:rPr>
                <w:b w:val="false"/>
                <w:bCs w:val="false"/>
                <w:color w:val="1A2433"/>
                <w:sz w:val="19"/>
                <w:szCs w:val="19"/>
                <w:shd w:fill="auto" w:val="clear"/>
              </w:rPr>
              <w:t xml:space="preserve"> </w:t>
            </w:r>
          </w:p>
        </w:tc>
      </w:tr>
      <w:tr>
        <w:trPr/>
        <w:tc>
          <w:tcPr>
            <w:tcW w:w="44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Vídeo de Demonstração</w:t>
            </w:r>
          </w:p>
        </w:tc>
        <w:tc>
          <w:tcPr>
            <w:tcW w:w="49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highlight w:val="none"/>
                <w:shd w:fill="FFFF00" w:val="clear"/>
              </w:rPr>
            </w:pPr>
            <w:r>
              <w:rPr>
                <w:b w:val="false"/>
                <w:bCs w:val="false"/>
                <w:color w:val="1A2433"/>
                <w:sz w:val="19"/>
                <w:szCs w:val="19"/>
                <w:shd w:fill="FFFF00" w:val="clear"/>
              </w:rPr>
              <w:t>[INSERIR LINK DO VÍDEO — Fase 3]</w:t>
            </w:r>
          </w:p>
        </w:tc>
      </w:tr>
    </w:tbl>
    <w:p>
      <w:pPr>
        <w:pStyle w:val="Normal"/>
        <w:spacing w:before="0" w:after="120"/>
        <w:rPr/>
      </w:pPr>
      <w:r>
        <w:rPr/>
      </w:r>
    </w:p>
    <w:p>
      <w:pPr>
        <w:pStyle w:val="Normal"/>
        <w:spacing w:lineRule="auto" w:line="276" w:before="0" w:after="160"/>
        <w:jc w:val="both"/>
        <w:rPr/>
      </w:pPr>
      <w:r>
        <w:rPr>
          <w:b w:val="false"/>
          <w:bCs w:val="false"/>
          <w:i w:val="false"/>
          <w:iCs w:val="false"/>
          <w:color w:val="1A2433"/>
          <w:sz w:val="21"/>
          <w:szCs w:val="21"/>
        </w:rPr>
        <w:t>Os quatro repositórios estão públicos no GitHub. A entrega é composta pelo conjunto dos quatro — cada um com seu próprio pipeline de CI/CD — e não apenas pelo repositório da API principal.</w:t>
      </w:r>
    </w:p>
    <w:p>
      <w:pPr>
        <w:pStyle w:val="Normal"/>
        <w:spacing w:before="0" w:after="300"/>
        <w:rPr/>
      </w:pPr>
      <w:r>
        <w:rPr/>
      </w:r>
    </w:p>
    <w:p>
      <w:pPr>
        <w:pStyle w:val="Heading1"/>
        <w:pBdr>
          <w:bottom w:val="single" w:sz="6" w:space="4" w:color="1F3864"/>
        </w:pBdr>
        <w:spacing w:before="400" w:after="200"/>
        <w:rPr/>
      </w:pPr>
      <w:r>
        <w:rPr>
          <w:b/>
          <w:bCs/>
          <w:color w:val="1F3864"/>
          <w:sz w:val="32"/>
          <w:szCs w:val="32"/>
        </w:rPr>
        <w:t>3. Contexto e Objetivos da Fase 3</w:t>
      </w:r>
    </w:p>
    <w:p>
      <w:pPr>
        <w:pStyle w:val="Normal"/>
        <w:spacing w:lineRule="auto" w:line="276" w:before="0" w:after="160"/>
        <w:jc w:val="both"/>
        <w:rPr/>
      </w:pPr>
      <w:r>
        <w:rPr>
          <w:b w:val="false"/>
          <w:bCs w:val="false"/>
          <w:i w:val="false"/>
          <w:iCs w:val="false"/>
          <w:color w:val="1A2433"/>
          <w:sz w:val="21"/>
          <w:szCs w:val="21"/>
        </w:rPr>
        <w:t>Depois da Fase 2 — que consolidou a aplicação com Clean Architecture, conteinerização, Kubernetes com HPA e um pipeline único de CI/CD — o cenário de negócio evoluiu: a oficina expandiu para múltiplas unidades físicas e ampliou sua base de clientes. Isso exigiu evoluir a arquitetura para garantir segurança de acesso, escalabilidade de operação em nuvem gerenciada e observabilidade de ponta a ponta. Os objetivos desta fase foram:</w:t>
      </w:r>
    </w:p>
    <w:p>
      <w:pPr>
        <w:pStyle w:val="ListParagraph"/>
        <w:numPr>
          <w:ilvl w:val="0"/>
          <w:numId w:val="4"/>
        </w:numPr>
        <w:spacing w:lineRule="auto" w:line="271" w:before="0" w:after="90"/>
        <w:rPr/>
      </w:pPr>
      <w:r>
        <w:rPr>
          <w:color w:val="1A2433"/>
          <w:sz w:val="21"/>
          <w:szCs w:val="21"/>
        </w:rPr>
        <w:t>Publicar a aplicação em um provedor de nuvem público, atrás de um API Gateway que centralize autenticação, rate limiting e correlação de requisições;</w:t>
      </w:r>
    </w:p>
    <w:p>
      <w:pPr>
        <w:pStyle w:val="ListParagraph"/>
        <w:numPr>
          <w:ilvl w:val="0"/>
          <w:numId w:val="2"/>
        </w:numPr>
        <w:spacing w:lineRule="auto" w:line="271" w:before="0" w:after="90"/>
        <w:rPr/>
      </w:pPr>
      <w:r>
        <w:rPr>
          <w:color w:val="1A2433"/>
          <w:sz w:val="21"/>
          <w:szCs w:val="21"/>
        </w:rPr>
        <w:t>Autenticar clientes por CPF através de uma função serverless dedicada, sem exigir senha, distinta do login tradicional de funcionário;</w:t>
      </w:r>
    </w:p>
    <w:p>
      <w:pPr>
        <w:pStyle w:val="ListParagraph"/>
        <w:numPr>
          <w:ilvl w:val="0"/>
          <w:numId w:val="2"/>
        </w:numPr>
        <w:spacing w:lineRule="auto" w:line="271" w:before="0" w:after="90"/>
        <w:rPr/>
      </w:pPr>
      <w:r>
        <w:rPr>
          <w:color w:val="1A2433"/>
          <w:sz w:val="21"/>
          <w:szCs w:val="21"/>
        </w:rPr>
        <w:t>Segregar a solução em repositórios independentes — aplicação, função de autenticação, infraestrutura de banco e infraestrutura de nuvem — cada um com seu próprio ciclo de CI/CD;</w:t>
      </w:r>
    </w:p>
    <w:p>
      <w:pPr>
        <w:pStyle w:val="ListParagraph"/>
        <w:numPr>
          <w:ilvl w:val="0"/>
          <w:numId w:val="2"/>
        </w:numPr>
        <w:spacing w:lineRule="auto" w:line="271" w:before="0" w:after="90"/>
        <w:rPr/>
      </w:pPr>
      <w:r>
        <w:rPr>
          <w:color w:val="1A2433"/>
          <w:sz w:val="21"/>
          <w:szCs w:val="21"/>
        </w:rPr>
        <w:t>Instrumentar observabilidade de ponta a ponta (logs, métricas, traces, dashboards e alertas);</w:t>
      </w:r>
    </w:p>
    <w:p>
      <w:pPr>
        <w:pStyle w:val="ListParagraph"/>
        <w:numPr>
          <w:ilvl w:val="0"/>
          <w:numId w:val="2"/>
        </w:numPr>
        <w:spacing w:lineRule="auto" w:line="271" w:before="0" w:after="90"/>
        <w:rPr/>
      </w:pPr>
      <w:r>
        <w:rPr>
          <w:color w:val="1A2433"/>
          <w:sz w:val="21"/>
          <w:szCs w:val="21"/>
        </w:rPr>
        <w:t>Registrar formalmente, através de RFC’s e ADRs, as decisões técnicas e arquiteturais tomadas para sustentar essa operação em escala corporativa, incluindo a justificativa e os ajustes necessários no modelo de dados relacional.</w:t>
      </w:r>
    </w:p>
    <w:p>
      <w:pPr>
        <w:pStyle w:val="Normal"/>
        <w:spacing w:before="0" w:after="160"/>
        <w:rPr/>
      </w:pPr>
      <w:r>
        <w:rPr/>
      </w:r>
    </w:p>
    <w:p>
      <w:pPr>
        <w:pStyle w:val="Heading2"/>
        <w:spacing w:before="300" w:after="150"/>
        <w:rPr/>
      </w:pPr>
      <w:r>
        <w:rPr>
          <w:b/>
          <w:bCs/>
          <w:color w:val="1F3864"/>
          <w:sz w:val="26"/>
          <w:szCs w:val="26"/>
        </w:rPr>
        <w:t>O que foi entregue nesta fase</w:t>
      </w:r>
    </w:p>
    <w:tbl>
      <w:tblPr>
        <w:tblW w:w="9326" w:type="dxa"/>
        <w:jc w:val="start"/>
        <w:tblInd w:w="0" w:type="dxa"/>
        <w:tblLayout w:type="fixed"/>
        <w:tblCellMar>
          <w:top w:w="80" w:type="dxa"/>
          <w:start w:w="100" w:type="dxa"/>
          <w:bottom w:w="80" w:type="dxa"/>
          <w:end w:w="100" w:type="dxa"/>
        </w:tblCellMar>
      </w:tblPr>
      <w:tblGrid>
        <w:gridCol w:w="2600"/>
        <w:gridCol w:w="6726"/>
      </w:tblGrid>
      <w:tr>
        <w:trPr>
          <w:tblHeader w:val="true"/>
        </w:trPr>
        <w:tc>
          <w:tcPr>
            <w:tcW w:w="26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Frente</w:t>
            </w:r>
          </w:p>
        </w:tc>
        <w:tc>
          <w:tcPr>
            <w:tcW w:w="6726"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Entrega</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Gateway de API</w:t>
            </w:r>
          </w:p>
        </w:tc>
        <w:tc>
          <w:tcPr>
            <w:tcW w:w="6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Azure API Management na frente de tudo: valida o JWT, aplica rate limiting por IP, propaga X-Correlation-ID e roteia para a API (AKS) ou para a Function de autenticação (Container Apps)</w:t>
            </w:r>
          </w:p>
        </w:tc>
      </w:tr>
      <w:tr>
        <w:trPr/>
        <w:tc>
          <w:tcPr>
            <w:tcW w:w="26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Autenticação por CPF</w:t>
            </w:r>
          </w:p>
        </w:tc>
        <w:tc>
          <w:tcPr>
            <w:tcW w:w="6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Function serverless dedicada (postech-auth-function), sem senha, que autentica o cliente e emite o mesmo tipo de JWT que a API aceita</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Banco gerenciado</w:t>
            </w:r>
          </w:p>
        </w:tc>
        <w:tc>
          <w:tcPr>
            <w:tcW w:w="6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Azure SQL Database, com schema e segredos administrados por Terraform próprio (postech-infra-db)</w:t>
            </w:r>
          </w:p>
        </w:tc>
      </w:tr>
      <w:tr>
        <w:trPr/>
        <w:tc>
          <w:tcPr>
            <w:tcW w:w="26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Autorização granular</w:t>
            </w:r>
          </w:p>
        </w:tc>
        <w:tc>
          <w:tcPr>
            <w:tcW w:w="6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Dois emissores de token distinguidos por role; rotas de operação exigem cargo de equipe; rotas de consulta do cliente passam por checagem de posse, para que um cliente nunca leia dado de outro</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Observabilidade</w:t>
            </w:r>
          </w:p>
        </w:tc>
        <w:tc>
          <w:tcPr>
            <w:tcW w:w="6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Datadog: Cluster Agent com admission controller instrumentando a API automaticamente, dashboards, monitors e synthetics</w:t>
            </w:r>
          </w:p>
        </w:tc>
      </w:tr>
      <w:tr>
        <w:trPr/>
        <w:tc>
          <w:tcPr>
            <w:tcW w:w="26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CI/CD</w:t>
            </w:r>
          </w:p>
        </w:tc>
        <w:tc>
          <w:tcPr>
            <w:tcW w:w="6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Pipeline próprio por repositório, com login na Azure via OIDC (sem segredo de nuvem versionado) e, na API principal, um smoke test que fala com o ambiente publicado de ponta a ponta</w:t>
            </w:r>
          </w:p>
        </w:tc>
      </w:tr>
    </w:tbl>
    <w:p>
      <w:pPr>
        <w:pStyle w:val="Normal"/>
        <w:spacing w:before="0" w:after="300"/>
        <w:rPr/>
      </w:pPr>
      <w:r>
        <w:rPr/>
      </w:r>
    </w:p>
    <w:p>
      <w:pPr>
        <w:pStyle w:val="Heading1"/>
        <w:pBdr>
          <w:bottom w:val="single" w:sz="6" w:space="4" w:color="1F3864"/>
        </w:pBdr>
        <w:spacing w:before="400" w:after="200"/>
        <w:rPr/>
      </w:pPr>
      <w:r>
        <w:rPr>
          <w:b/>
          <w:bCs/>
          <w:color w:val="1F3864"/>
          <w:sz w:val="32"/>
          <w:szCs w:val="32"/>
        </w:rPr>
        <w:t>4. Desenho da Arquitetura</w:t>
      </w:r>
    </w:p>
    <w:p>
      <w:pPr>
        <w:pStyle w:val="Heading2"/>
        <w:spacing w:before="300" w:after="150"/>
        <w:rPr/>
      </w:pPr>
      <w:r>
        <w:rPr>
          <w:b/>
          <w:bCs/>
          <w:color w:val="1F3864"/>
          <w:sz w:val="26"/>
          <w:szCs w:val="26"/>
        </w:rPr>
        <w:t>4.1 Arquitetura da aplicação (Clean Architecture)</w:t>
      </w:r>
    </w:p>
    <w:p>
      <w:pPr>
        <w:pStyle w:val="Normal"/>
        <w:spacing w:lineRule="auto" w:line="276" w:before="0" w:after="160"/>
        <w:jc w:val="both"/>
        <w:rPr/>
      </w:pPr>
      <w:r>
        <w:rPr>
          <w:b w:val="false"/>
          <w:bCs w:val="false"/>
          <w:i w:val="false"/>
          <w:iCs w:val="false"/>
          <w:color w:val="1A2433"/>
          <w:sz w:val="21"/>
          <w:szCs w:val="21"/>
        </w:rPr>
        <w:t>A aplicação principal (postech-app) segue os princípios da Clean Architecture: a regra de dependência aponta sempre para o centro — o domínio não conhece nenhuma camada externa, e frameworks, banco de dados e web são detalhes nas bordas. Os repositórios são definidos como ports (interfaces) no domínio e implementados como adapters na camada de infraestrutura (Dapper + Azure SQL Database). A aplicação roda em .NET 10.</w:t>
      </w:r>
    </w:p>
    <w:p>
      <w:pPr>
        <w:pStyle w:val="Normal"/>
        <w:jc w:val="center"/>
        <w:rPr/>
      </w:pPr>
      <w:r>
        <w:rPr/>
        <w:drawing>
          <wp:inline distT="0" distB="0" distL="0" distR="0">
            <wp:extent cx="4381500" cy="3990975"/>
            <wp:effectExtent l="0" t="0" r="0" b="0"/>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7"/>
                    <a:stretch>
                      <a:fillRect/>
                    </a:stretch>
                  </pic:blipFill>
                  <pic:spPr bwMode="auto">
                    <a:xfrm>
                      <a:off x="0" y="0"/>
                      <a:ext cx="4381500" cy="3990975"/>
                    </a:xfrm>
                    <a:prstGeom prst="rect">
                      <a:avLst/>
                    </a:prstGeom>
                    <a:noFill/>
                  </pic:spPr>
                </pic:pic>
              </a:graphicData>
            </a:graphic>
          </wp:inline>
        </w:drawing>
      </w:r>
    </w:p>
    <w:p>
      <w:pPr>
        <w:pStyle w:val="Normal"/>
        <w:spacing w:before="80" w:after="240"/>
        <w:jc w:val="center"/>
        <w:rPr/>
      </w:pPr>
      <w:r>
        <w:rPr>
          <w:i/>
          <w:iCs/>
          <w:color w:val="5B6B84"/>
          <w:sz w:val="19"/>
          <w:szCs w:val="19"/>
        </w:rPr>
        <w:t>Figura 1 — Camadas da aplicação e regra de dependência</w:t>
      </w:r>
    </w:p>
    <w:tbl>
      <w:tblPr>
        <w:tblW w:w="9326" w:type="dxa"/>
        <w:jc w:val="start"/>
        <w:tblInd w:w="0" w:type="dxa"/>
        <w:tblLayout w:type="fixed"/>
        <w:tblCellMar>
          <w:top w:w="80" w:type="dxa"/>
          <w:start w:w="100" w:type="dxa"/>
          <w:bottom w:w="80" w:type="dxa"/>
          <w:end w:w="100" w:type="dxa"/>
        </w:tblCellMar>
      </w:tblPr>
      <w:tblGrid>
        <w:gridCol w:w="2200"/>
        <w:gridCol w:w="3400"/>
        <w:gridCol w:w="3726"/>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Camada</w:t>
            </w:r>
          </w:p>
        </w:tc>
        <w:tc>
          <w:tcPr>
            <w:tcW w:w="34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Projeto</w:t>
            </w:r>
          </w:p>
        </w:tc>
        <w:tc>
          <w:tcPr>
            <w:tcW w:w="3726"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Responsabilidade</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API / Apresentação</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PosTechChallenge</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Controllers REST, Middlewares (correlação, rate limiting, timing), autorização por papel e por posse</w:t>
            </w:r>
          </w:p>
        </w:tc>
      </w:tr>
      <w:tr>
        <w:trPr/>
        <w:tc>
          <w:tcPr>
            <w:tcW w:w="2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Aplicação</w:t>
            </w:r>
          </w:p>
        </w:tc>
        <w:tc>
          <w:tcPr>
            <w:tcW w:w="34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PosTechChallenge.Applicacao</w:t>
            </w:r>
          </w:p>
        </w:tc>
        <w:tc>
          <w:tcPr>
            <w:tcW w:w="3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Use Cases, Application Services, DTOs, Mappers</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Domínio</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PosTechChallenge.Dominio</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Entidades, Value Objects (CPF, CNPJ, Senha, Placa), Domain Services (máquina de estados da OS), Ports</w:t>
            </w:r>
          </w:p>
        </w:tc>
      </w:tr>
      <w:tr>
        <w:trPr/>
        <w:tc>
          <w:tcPr>
            <w:tcW w:w="2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Infraestrutura</w:t>
            </w:r>
          </w:p>
        </w:tc>
        <w:tc>
          <w:tcPr>
            <w:tcW w:w="34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PosTechChallenge.Infraestrutura</w:t>
            </w:r>
          </w:p>
        </w:tc>
        <w:tc>
          <w:tcPr>
            <w:tcW w:w="3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Repositórios Dapper, Queries SQL, Unit of Work</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Testes</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PosTechChallenge.Testes / .Testes.Integracao</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Testes unitários (xUnit + Moq) e de integração contra SQL Server real</w:t>
            </w:r>
          </w:p>
        </w:tc>
      </w:tr>
    </w:tbl>
    <w:p>
      <w:pPr>
        <w:pStyle w:val="Normal"/>
        <w:spacing w:before="0" w:after="280"/>
        <w:rPr/>
      </w:pPr>
      <w:r>
        <w:rPr/>
      </w:r>
    </w:p>
    <w:p>
      <w:pPr>
        <w:pStyle w:val="Heading2"/>
        <w:spacing w:before="300" w:after="150"/>
        <w:rPr/>
      </w:pPr>
      <w:r>
        <w:rPr>
          <w:b/>
          <w:bCs/>
          <w:color w:val="1F3864"/>
          <w:sz w:val="26"/>
          <w:szCs w:val="26"/>
        </w:rPr>
        <w:t>4.2 Repositórios da solução</w:t>
      </w:r>
    </w:p>
    <w:p>
      <w:pPr>
        <w:pStyle w:val="Normal"/>
        <w:spacing w:lineRule="auto" w:line="276" w:before="0" w:after="160"/>
        <w:jc w:val="both"/>
        <w:rPr/>
      </w:pPr>
      <w:r>
        <w:rPr>
          <w:b w:val="false"/>
          <w:bCs w:val="false"/>
          <w:i w:val="false"/>
          <w:iCs w:val="false"/>
          <w:color w:val="1A2433"/>
          <w:sz w:val="21"/>
          <w:szCs w:val="21"/>
        </w:rPr>
        <w:t>O desafio da Fase 3 pede quatro repositórios com responsabilidades e pipelines separados. O contrato entre eles não é um arquivo formal, mas dois mecanismos concretos: o Azure Key Vault criado por postech-infra-db é a fonte única da connection string e do segredo JWT, lida por Terraform tanto de postech-infra-k8s quanto da configuração da Function — nenhum dos dois gera ou versiona segredo por conta própria; e o Azure Container Registry, criado em postech-infra-k8s, é o ponto de encontro das imagens publicadas por postech-app e por postech-auth-function.</w:t>
      </w:r>
    </w:p>
    <w:p>
      <w:pPr>
        <w:pStyle w:val="Normal"/>
        <w:jc w:val="center"/>
        <w:rPr/>
      </w:pPr>
      <w:r>
        <w:rPr/>
        <w:drawing>
          <wp:inline distT="0" distB="0" distL="0" distR="0">
            <wp:extent cx="5334000" cy="3343275"/>
            <wp:effectExtent l="0" t="0" r="0" b="0"/>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8"/>
                    <a:stretch>
                      <a:fillRect/>
                    </a:stretch>
                  </pic:blipFill>
                  <pic:spPr bwMode="auto">
                    <a:xfrm>
                      <a:off x="0" y="0"/>
                      <a:ext cx="5334000" cy="3343275"/>
                    </a:xfrm>
                    <a:prstGeom prst="rect">
                      <a:avLst/>
                    </a:prstGeom>
                    <a:noFill/>
                  </pic:spPr>
                </pic:pic>
              </a:graphicData>
            </a:graphic>
          </wp:inline>
        </w:drawing>
      </w:r>
    </w:p>
    <w:p>
      <w:pPr>
        <w:pStyle w:val="Normal"/>
        <w:spacing w:before="80" w:after="240"/>
        <w:jc w:val="center"/>
        <w:rPr>
          <w:i/>
          <w:iCs/>
          <w:color w:val="5B6B84"/>
          <w:sz w:val="19"/>
          <w:szCs w:val="19"/>
        </w:rPr>
      </w:pPr>
      <w:r>
        <w:rPr>
          <w:i/>
          <w:iCs/>
          <w:color w:val="5B6B84"/>
          <w:sz w:val="19"/>
          <w:szCs w:val="19"/>
        </w:rPr>
        <w:t>Figura 2 — Relação entre os quatro repositórios da entrega</w:t>
      </w:r>
    </w:p>
    <w:p>
      <w:pPr>
        <w:pStyle w:val="Normal"/>
        <w:spacing w:before="80" w:after="240"/>
        <w:jc w:val="center"/>
        <w:rPr>
          <w:i/>
          <w:iCs/>
          <w:color w:val="5B6B84"/>
          <w:sz w:val="19"/>
          <w:szCs w:val="19"/>
        </w:rPr>
      </w:pPr>
      <w:r>
        <w:rPr>
          <w:i/>
          <w:iCs/>
          <w:color w:val="5B6B84"/>
          <w:sz w:val="19"/>
          <w:szCs w:val="19"/>
        </w:rPr>
      </w:r>
    </w:p>
    <w:tbl>
      <w:tblPr>
        <w:tblW w:w="9326" w:type="dxa"/>
        <w:jc w:val="start"/>
        <w:tblInd w:w="0" w:type="dxa"/>
        <w:tblLayout w:type="fixed"/>
        <w:tblCellMar>
          <w:top w:w="80" w:type="dxa"/>
          <w:start w:w="100" w:type="dxa"/>
          <w:bottom w:w="80" w:type="dxa"/>
          <w:end w:w="100" w:type="dxa"/>
        </w:tblCellMar>
      </w:tblPr>
      <w:tblGrid>
        <w:gridCol w:w="498"/>
        <w:gridCol w:w="2800"/>
        <w:gridCol w:w="6028"/>
      </w:tblGrid>
      <w:tr>
        <w:trPr>
          <w:tblHeader w:val="true"/>
        </w:trPr>
        <w:tc>
          <w:tcPr>
            <w:tcW w:w="498"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w:t>
            </w:r>
          </w:p>
        </w:tc>
        <w:tc>
          <w:tcPr>
            <w:tcW w:w="28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Repositório</w:t>
            </w:r>
          </w:p>
        </w:tc>
        <w:tc>
          <w:tcPr>
            <w:tcW w:w="6028"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Responsabilidade</w:t>
            </w:r>
          </w:p>
        </w:tc>
      </w:tr>
      <w:tr>
        <w:trPr/>
        <w:tc>
          <w:tcPr>
            <w:tcW w:w="4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1</w:t>
            </w:r>
          </w:p>
        </w:tc>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postech-auth-function</w:t>
            </w:r>
          </w:p>
        </w:tc>
        <w:tc>
          <w:tcPr>
            <w:tcW w:w="602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Function serverless (.NET 8 isolated, Azure Functions v4) que autentica o cliente por CPF e emite o JWT que a API valida</w:t>
            </w:r>
          </w:p>
        </w:tc>
      </w:tr>
      <w:tr>
        <w:trPr/>
        <w:tc>
          <w:tcPr>
            <w:tcW w:w="498"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2</w:t>
            </w:r>
          </w:p>
        </w:tc>
        <w:tc>
          <w:tcPr>
            <w:tcW w:w="2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postech-infra-db</w:t>
            </w:r>
          </w:p>
        </w:tc>
        <w:tc>
          <w:tcPr>
            <w:tcW w:w="6028"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Terraform do Azure SQL Database e do Azure Key Vault — fonte única da connection string e da chave JWT</w:t>
            </w:r>
          </w:p>
        </w:tc>
      </w:tr>
      <w:tr>
        <w:trPr/>
        <w:tc>
          <w:tcPr>
            <w:tcW w:w="4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3</w:t>
            </w:r>
          </w:p>
        </w:tc>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postech-app</w:t>
            </w:r>
          </w:p>
        </w:tc>
        <w:tc>
          <w:tcPr>
            <w:tcW w:w="602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API principal — clientes, veículos, peças, ordens de serviço, orçamentos; Deployment e HPA que rodam no AKS</w:t>
            </w:r>
          </w:p>
        </w:tc>
      </w:tr>
      <w:tr>
        <w:trPr/>
        <w:tc>
          <w:tcPr>
            <w:tcW w:w="498"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4</w:t>
            </w:r>
          </w:p>
        </w:tc>
        <w:tc>
          <w:tcPr>
            <w:tcW w:w="2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postech-infra-k8s</w:t>
            </w:r>
          </w:p>
        </w:tc>
        <w:tc>
          <w:tcPr>
            <w:tcW w:w="6028"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Terraform do AKS, do Azure API Management, da hospedagem da Auth Function (Container Apps) e da observabilidade (Datadog)</w:t>
            </w:r>
          </w:p>
        </w:tc>
      </w:tr>
    </w:tbl>
    <w:p>
      <w:pPr>
        <w:sectPr>
          <w:footerReference w:type="even" r:id="rId9"/>
          <w:footerReference w:type="default" r:id="rId10"/>
          <w:footerReference w:type="first" r:id="rId11"/>
          <w:type w:val="nextPage"/>
          <w:pgSz w:w="11906" w:h="16838"/>
          <w:pgMar w:left="1440" w:right="1440" w:gutter="0" w:header="0" w:top="1440" w:footer="708" w:bottom="1200"/>
          <w:pgNumType w:fmt="decimal"/>
          <w:formProt w:val="false"/>
          <w:textDirection w:val="lrTb"/>
          <w:docGrid w:type="default" w:linePitch="360" w:charSpace="0"/>
        </w:sectPr>
      </w:pPr>
    </w:p>
    <w:p>
      <w:pPr>
        <w:pStyle w:val="Heading2"/>
        <w:spacing w:before="300" w:after="150"/>
        <w:rPr/>
      </w:pPr>
      <w:r>
        <w:rPr>
          <w:b/>
          <w:bCs/>
          <w:color w:val="1F3864"/>
          <w:sz w:val="26"/>
          <w:szCs w:val="26"/>
        </w:rPr>
        <w:t>4.3 Arquitetura de nuvem — Diagrama de Componentes</w:t>
      </w:r>
    </w:p>
    <w:p>
      <w:pPr>
        <w:pStyle w:val="Normal"/>
        <w:jc w:val="center"/>
        <w:rPr/>
      </w:pPr>
      <w:r>
        <w:rPr/>
        <w:drawing>
          <wp:inline distT="0" distB="0" distL="0" distR="0">
            <wp:extent cx="8572500" cy="4676775"/>
            <wp:effectExtent l="0" t="0" r="0" b="0"/>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12"/>
                    <a:stretch>
                      <a:fillRect/>
                    </a:stretch>
                  </pic:blipFill>
                  <pic:spPr bwMode="auto">
                    <a:xfrm>
                      <a:off x="0" y="0"/>
                      <a:ext cx="8572500" cy="4676775"/>
                    </a:xfrm>
                    <a:prstGeom prst="rect">
                      <a:avLst/>
                    </a:prstGeom>
                    <a:noFill/>
                  </pic:spPr>
                </pic:pic>
              </a:graphicData>
            </a:graphic>
          </wp:inline>
        </w:drawing>
      </w:r>
    </w:p>
    <w:p>
      <w:pPr>
        <w:pStyle w:val="Normal"/>
        <w:spacing w:before="80" w:after="0"/>
        <w:jc w:val="center"/>
        <w:rPr/>
        <w:sectPr>
          <w:footerReference w:type="even" r:id="rId13"/>
          <w:footerReference w:type="default" r:id="rId14"/>
          <w:footerReference w:type="first" r:id="rId15"/>
          <w:type w:val="nextPage"/>
          <w:pgSz w:orient="landscape" w:w="16838" w:h="11906"/>
          <w:pgMar w:left="1080" w:right="1080" w:gutter="0" w:header="0" w:top="1080" w:footer="708" w:bottom="1000"/>
          <w:pgNumType w:fmt="decimal"/>
          <w:formProt w:val="false"/>
          <w:textDirection w:val="lrTb"/>
          <w:docGrid w:type="default" w:linePitch="360" w:charSpace="0"/>
        </w:sectPr>
      </w:pPr>
      <w:r>
        <w:rPr>
          <w:i/>
          <w:iCs/>
          <w:color w:val="5B6B84"/>
          <w:sz w:val="19"/>
          <w:szCs w:val="19"/>
        </w:rPr>
        <w:t>Figura 3 — Visão de componentes: Azure, APIs, banco de dados gerenciado e stack de observabilidade, como efetivamente provisionado pelos quatro repositórios.</w:t>
      </w:r>
    </w:p>
    <w:p>
      <w:pPr>
        <w:pStyle w:val="Normal"/>
        <w:spacing w:lineRule="auto" w:line="276" w:before="0" w:after="160"/>
        <w:jc w:val="both"/>
        <w:rPr/>
      </w:pPr>
      <w:r>
        <w:rPr>
          <w:b w:val="false"/>
          <w:bCs w:val="false"/>
          <w:i w:val="false"/>
          <w:iCs w:val="false"/>
          <w:color w:val="1A2433"/>
          <w:sz w:val="21"/>
          <w:szCs w:val="21"/>
        </w:rPr>
        <w:t>O diagrama reflete a arquitetura efetivamente provisionada na Fase 3, na Azure (RFC-0001), dentro do resource group pos-tech-fiap de uma subscription acadêmica com quotas restritas por região — restrição que molda várias das escolhas discutidas nas RFCs adiante. Clientes finais e colaboradores acessam o sistema exclusivamente via HTTPS através do Azure API Management (SKU Developer, RFC-0004), que concentra roteamento, validação de JWT, rate limiting por IP e a propagação do cabeçalho X-Correlation-ID.</w:t>
      </w:r>
    </w:p>
    <w:p>
      <w:pPr>
        <w:pStyle w:val="Normal"/>
        <w:spacing w:lineRule="auto" w:line="276" w:before="0" w:after="160"/>
        <w:jc w:val="both"/>
        <w:rPr/>
      </w:pPr>
      <w:r>
        <w:rPr>
          <w:b w:val="false"/>
          <w:bCs w:val="false"/>
          <w:i w:val="false"/>
          <w:iCs w:val="false"/>
          <w:color w:val="1A2433"/>
          <w:sz w:val="21"/>
          <w:szCs w:val="21"/>
        </w:rPr>
        <w:t>O APIM expõe duas APIs distintas: a rota /auth encaminha para o Auth Function, hospedado em Azure Container Apps em vez de um Function App clássico — a subscription tem quota zero para todos os planos de App Service testados, então Container Apps é o destino serverless viável (escala a zero, cobra por requisição; RFC-0005); as demais rotas encaminham para o Service tipo LoadBalancer do cluster AKS, que expõe diretamente os pods da aplicação, sem ingress-nginx nem cert-manager, porque o próprio APIM já termina o TLS (ADR-0003).</w:t>
      </w:r>
    </w:p>
    <w:p>
      <w:pPr>
        <w:pStyle w:val="Normal"/>
        <w:spacing w:lineRule="auto" w:line="276" w:before="0" w:after="160"/>
        <w:jc w:val="both"/>
        <w:rPr/>
      </w:pPr>
      <w:r>
        <w:rPr>
          <w:b w:val="false"/>
          <w:bCs w:val="false"/>
          <w:i w:val="false"/>
          <w:iCs w:val="false"/>
          <w:color w:val="1A2433"/>
          <w:sz w:val="21"/>
          <w:szCs w:val="21"/>
        </w:rPr>
        <w:t>O cluster AKS roda com 2 nós fixos Standard_D2as_v7 e cluster autoscaler desligado: a quota regional da subscription é de 4 vCPU, exatamente o teto desses 2 nós. A escalabilidade exigida pelo desafio vem inteiramente do HPA sobre os pods (2 a 5 réplicas, CPU 70%, ADR-0002). O Datadog Cluster Agent roda como DaemonSet e, via admission controller, injeta automaticamente o tracer .NET nos pods da API, sem alterar o Dockerfile da aplicação (ADR-0004).</w:t>
      </w:r>
    </w:p>
    <w:p>
      <w:pPr>
        <w:pStyle w:val="Normal"/>
        <w:spacing w:lineRule="auto" w:line="276" w:before="0" w:after="0"/>
        <w:jc w:val="both"/>
        <w:rPr/>
        <w:sectPr>
          <w:footerReference w:type="even" r:id="rId16"/>
          <w:footerReference w:type="default" r:id="rId17"/>
          <w:footerReference w:type="first" r:id="rId18"/>
          <w:type w:val="nextPage"/>
          <w:pgSz w:w="11906" w:h="16838"/>
          <w:pgMar w:left="1440" w:right="1440" w:gutter="0" w:header="0" w:top="1440" w:footer="708" w:bottom="1200"/>
          <w:pgNumType w:fmt="decimal"/>
          <w:formProt w:val="false"/>
          <w:textDirection w:val="lrTb"/>
          <w:docGrid w:type="default" w:linePitch="360" w:charSpace="0"/>
        </w:sectPr>
      </w:pPr>
      <w:r>
        <w:rPr>
          <w:b w:val="false"/>
          <w:bCs w:val="false"/>
          <w:i w:val="false"/>
          <w:iCs w:val="false"/>
          <w:color w:val="1A2433"/>
          <w:sz w:val="21"/>
          <w:szCs w:val="21"/>
        </w:rPr>
        <w:t>Tanto os pods da API quanto o Auth Function acessam a mesma Azure SQL Database (Basic, 5 DTU/2 GB) via Dapper, e ambos validam/emitem tokens com o mesmo segredo HMAC — mas nenhum dos dois lê o Azure Key Vault em tempo de execução: o Key Vault é consultado pelo Terraform no momento do apply, que materializa os segredos como Secret do Kubernetes (para os pods) e como secret do Container App (para a Function).</w:t>
      </w:r>
    </w:p>
    <w:p>
      <w:pPr>
        <w:pStyle w:val="Heading2"/>
        <w:spacing w:before="300" w:after="150"/>
        <w:rPr/>
      </w:pPr>
      <w:r>
        <w:rPr>
          <w:b/>
          <w:bCs/>
          <w:color w:val="1F3864"/>
          <w:sz w:val="26"/>
          <w:szCs w:val="26"/>
        </w:rPr>
        <w:t>4.4 Diagrama de Sequência — Autenticação e Abertura de OS</w:t>
      </w:r>
    </w:p>
    <w:p>
      <w:pPr>
        <w:pStyle w:val="Normal"/>
        <w:jc w:val="center"/>
        <w:rPr/>
      </w:pPr>
      <w:r>
        <w:rPr/>
        <w:drawing>
          <wp:inline distT="0" distB="0" distL="0" distR="0">
            <wp:extent cx="4953000" cy="7820025"/>
            <wp:effectExtent l="0" t="0" r="0" b="0"/>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19"/>
                    <a:stretch>
                      <a:fillRect/>
                    </a:stretch>
                  </pic:blipFill>
                  <pic:spPr bwMode="auto">
                    <a:xfrm>
                      <a:off x="0" y="0"/>
                      <a:ext cx="4953000" cy="7820025"/>
                    </a:xfrm>
                    <a:prstGeom prst="rect">
                      <a:avLst/>
                    </a:prstGeom>
                    <a:noFill/>
                  </pic:spPr>
                </pic:pic>
              </a:graphicData>
            </a:graphic>
          </wp:inline>
        </w:drawing>
      </w:r>
    </w:p>
    <w:p>
      <w:pPr>
        <w:pStyle w:val="Normal"/>
        <w:spacing w:before="80" w:after="0"/>
        <w:jc w:val="center"/>
        <w:rPr/>
        <w:sectPr>
          <w:footerReference w:type="even" r:id="rId20"/>
          <w:footerReference w:type="default" r:id="rId21"/>
          <w:footerReference w:type="first" r:id="rId22"/>
          <w:type w:val="nextPage"/>
          <w:pgSz w:w="11906" w:h="16838"/>
          <w:pgMar w:left="1440" w:right="1440" w:gutter="0" w:header="0" w:top="1440" w:footer="708" w:bottom="1200"/>
          <w:pgNumType w:fmt="decimal"/>
          <w:formProt w:val="false"/>
          <w:textDirection w:val="lrTb"/>
          <w:docGrid w:type="default" w:linePitch="360" w:charSpace="0"/>
        </w:sectPr>
      </w:pPr>
      <w:r>
        <w:rPr>
          <w:i/>
          <w:iCs/>
          <w:color w:val="5B6B84"/>
          <w:sz w:val="19"/>
          <w:szCs w:val="19"/>
        </w:rPr>
        <w:t>Figura 4 — Autenticação (cliente por CPF via Auth Function; colaborador por CPF + senha nesta API) seguida da abertura de OS, restrita ao perfil de equipe.</w:t>
      </w:r>
    </w:p>
    <w:p>
      <w:pPr>
        <w:pStyle w:val="Heading3"/>
        <w:spacing w:before="220" w:after="120"/>
        <w:rPr/>
      </w:pPr>
      <w:r>
        <w:rPr>
          <w:b/>
          <w:bCs/>
          <w:color w:val="C0522A"/>
          <w:sz w:val="23"/>
          <w:szCs w:val="23"/>
        </w:rPr>
        <w:t>Etapa 1 — Autenticação</w:t>
      </w:r>
    </w:p>
    <w:p>
      <w:pPr>
        <w:pStyle w:val="Normal"/>
        <w:spacing w:lineRule="auto" w:line="276" w:before="0" w:after="160"/>
        <w:jc w:val="both"/>
        <w:rPr/>
      </w:pPr>
      <w:r>
        <w:rPr>
          <w:b w:val="false"/>
          <w:bCs w:val="false"/>
          <w:i w:val="false"/>
          <w:iCs w:val="false"/>
          <w:color w:val="1A2433"/>
          <w:sz w:val="21"/>
          <w:szCs w:val="21"/>
        </w:rPr>
        <w:t>O sistema tem dois emissores de JWT, assinados com o mesmo segredo HMAC e validados pelo mesmo validate-jwt no gateway. O cliente autentica só com CPF, sem senha, em POST /auth — o APIM aplica um rate limit de 10 chamadas por minuto por IP (mais restritivo que o das rotas operacionais, porque é o único endpoint que recebe um CPF sem token algum) e encaminha ao Auth Function. A função valida o dígito verificador do CPF antes de qualquer consulta (400 se inválido), busca o cliente no Azure SQL Database e distingue três desfechos exigidos pelo desafio: 404 se o CPF não está cadastrado, 403 se o cliente existe mas está inativo, e só então a emissão do token (role=Cliente, ClienteId, exp=15min).</w:t>
      </w:r>
    </w:p>
    <w:p>
      <w:pPr>
        <w:pStyle w:val="Normal"/>
        <w:spacing w:lineRule="auto" w:line="276" w:before="0" w:after="160"/>
        <w:jc w:val="both"/>
        <w:rPr/>
      </w:pPr>
      <w:r>
        <w:rPr>
          <w:b w:val="false"/>
          <w:bCs w:val="false"/>
          <w:i w:val="false"/>
          <w:iCs w:val="false"/>
          <w:color w:val="1A2433"/>
          <w:sz w:val="21"/>
          <w:szCs w:val="21"/>
        </w:rPr>
        <w:t>O colaborador autentica com CPF e senha em POST /api/v1/autenticacao/login, validado nesta própria API: a senha é conferida com BCrypt Enhanced (SHA-384) contra o hash salvo em Seguranca, com rate limiting de tentativas por CPF. O token emitido carrega o cargo do funcionário (role) e seu FuncionarioId.</w:t>
      </w:r>
    </w:p>
    <w:p>
      <w:pPr>
        <w:pStyle w:val="Heading3"/>
        <w:spacing w:before="220" w:after="120"/>
        <w:rPr/>
      </w:pPr>
      <w:r>
        <w:rPr>
          <w:b/>
          <w:bCs/>
          <w:color w:val="C0522A"/>
          <w:sz w:val="23"/>
          <w:szCs w:val="23"/>
        </w:rPr>
        <w:t>Etapa 2 — Abertura da Ordem de Serviço</w:t>
      </w:r>
    </w:p>
    <w:p>
      <w:pPr>
        <w:pStyle w:val="Normal"/>
        <w:spacing w:lineRule="auto" w:line="276" w:before="0" w:after="160"/>
        <w:jc w:val="both"/>
        <w:rPr/>
      </w:pPr>
      <w:r>
        <w:rPr>
          <w:b w:val="false"/>
          <w:bCs w:val="false"/>
          <w:i w:val="false"/>
          <w:iCs w:val="false"/>
          <w:color w:val="1A2433"/>
          <w:sz w:val="21"/>
          <w:szCs w:val="21"/>
        </w:rPr>
        <w:t>Abrir uma OS é uma ação da recepção, não do cliente: o endpoint POST /api/v1/ordens-servico exige a policy Equipe — qualquer cargo de funcionário (a lista é derivada do enum de cargos, não escrita à mão, para que nenhum cargo novo fique de fora por engano). Um token de cliente é rejeitado com 403 nesta rota, ainda que válido — o cliente acompanha e aprova sua OS, mas não a abre diretamente.</w:t>
      </w:r>
    </w:p>
    <w:p>
      <w:pPr>
        <w:pStyle w:val="Normal"/>
        <w:spacing w:lineRule="auto" w:line="276" w:before="0" w:after="160"/>
        <w:jc w:val="both"/>
        <w:rPr/>
      </w:pPr>
      <w:r>
        <w:rPr>
          <w:b w:val="false"/>
          <w:bCs w:val="false"/>
          <w:i w:val="false"/>
          <w:iCs w:val="false"/>
          <w:color w:val="1A2433"/>
          <w:sz w:val="21"/>
          <w:szCs w:val="21"/>
        </w:rPr>
        <w:t>A validação se repete no lado da aplicação — o middleware JwtBearer revalida o mesmo token — uma defesa em profundidade deliberada: mesmo que alguém alcance o Service diretamente, sem passar pelo APIM, a API ainda exige um token válido e com o papel correto. Uma vez autorizado, o controller delega ao CriarOrdemServicoUseCase, que confere a consistência do pedido (cliente, veículo e funcionário) e insere a OS com status inicial Recebida.</w:t>
      </w:r>
    </w:p>
    <w:p>
      <w:pPr>
        <w:pStyle w:val="Normal"/>
        <w:spacing w:lineRule="auto" w:line="276" w:before="0" w:after="160"/>
        <w:jc w:val="both"/>
        <w:rPr/>
      </w:pPr>
      <w:r>
        <w:rPr>
          <w:b w:val="false"/>
          <w:bCs w:val="false"/>
          <w:i w:val="false"/>
          <w:iCs w:val="false"/>
          <w:color w:val="1A2433"/>
          <w:sz w:val="21"/>
          <w:szCs w:val="21"/>
        </w:rPr>
        <w:t>Este fluxo não grava nada na tabela EmailOutbox: no código atual, o Outbox só é usado pelo caso de uso de envio de orçamento, não pela abertura de OS — e mesmo ali existe apenas o lado produtor, sem um processo que efetivamente envie o e-mail (ver ADR-0001).</w:t>
      </w:r>
    </w:p>
    <w:p>
      <w:pPr>
        <w:pStyle w:val="Normal"/>
        <w:spacing w:before="0" w:after="280"/>
        <w:rPr/>
      </w:pPr>
      <w:r>
        <w:rPr/>
      </w:r>
    </w:p>
    <w:p>
      <w:pPr>
        <w:pStyle w:val="Heading2"/>
        <w:spacing w:before="300" w:after="150"/>
        <w:rPr/>
      </w:pPr>
      <w:r>
        <w:rPr>
          <w:b/>
          <w:bCs/>
          <w:color w:val="1F3864"/>
          <w:sz w:val="26"/>
          <w:szCs w:val="26"/>
        </w:rPr>
        <w:t>4.5 Fluxo de deploy (CI/CD)</w:t>
      </w:r>
    </w:p>
    <w:p>
      <w:pPr>
        <w:pStyle w:val="Normal"/>
        <w:spacing w:lineRule="auto" w:line="276" w:before="0" w:after="160"/>
        <w:jc w:val="both"/>
        <w:rPr/>
      </w:pPr>
      <w:r>
        <w:rPr>
          <w:b w:val="false"/>
          <w:bCs w:val="false"/>
          <w:i w:val="false"/>
          <w:iCs w:val="false"/>
          <w:color w:val="1A2433"/>
          <w:sz w:val="21"/>
          <w:szCs w:val="21"/>
        </w:rPr>
        <w:t>O pipeline da API principal (.github/workflows/ci-cd.yml) autentica na Azure via OIDC — sem client secret armazenado no repositório — e fecha com um smoke test que valida o ambiente publicado de ponta a ponta, contra o gateway real.</w:t>
      </w:r>
    </w:p>
    <w:p>
      <w:pPr>
        <w:pStyle w:val="Normal"/>
        <w:jc w:val="center"/>
        <w:rPr/>
      </w:pPr>
      <w:r>
        <w:rPr/>
        <w:drawing>
          <wp:inline distT="0" distB="0" distL="0" distR="0">
            <wp:extent cx="2857500" cy="7058025"/>
            <wp:effectExtent l="0" t="0" r="0" b="0"/>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23"/>
                    <a:stretch>
                      <a:fillRect/>
                    </a:stretch>
                  </pic:blipFill>
                  <pic:spPr bwMode="auto">
                    <a:xfrm>
                      <a:off x="0" y="0"/>
                      <a:ext cx="2857500" cy="7058025"/>
                    </a:xfrm>
                    <a:prstGeom prst="rect">
                      <a:avLst/>
                    </a:prstGeom>
                    <a:noFill/>
                  </pic:spPr>
                </pic:pic>
              </a:graphicData>
            </a:graphic>
          </wp:inline>
        </w:drawing>
      </w:r>
    </w:p>
    <w:p>
      <w:pPr>
        <w:pStyle w:val="Normal"/>
        <w:spacing w:before="80" w:after="240"/>
        <w:jc w:val="center"/>
        <w:rPr/>
      </w:pPr>
      <w:r>
        <w:rPr>
          <w:i/>
          <w:iCs/>
          <w:color w:val="5B6B84"/>
          <w:sz w:val="19"/>
          <w:szCs w:val="19"/>
        </w:rPr>
        <w:t>Figura 5 — Etapas do pipeline de CI/CD da API principal</w:t>
      </w:r>
    </w:p>
    <w:p>
      <w:pPr>
        <w:pStyle w:val="Normal"/>
        <w:spacing w:lineRule="auto" w:line="276" w:before="0" w:after="160"/>
        <w:jc w:val="both"/>
        <w:rPr/>
      </w:pPr>
      <w:r>
        <w:rPr>
          <w:b w:val="false"/>
          <w:bCs w:val="false"/>
          <w:i w:val="false"/>
          <w:iCs w:val="false"/>
          <w:color w:val="1A2433"/>
          <w:sz w:val="21"/>
          <w:szCs w:val="21"/>
        </w:rPr>
        <w:t>Build &amp; Test roda em todo push e PR: restaura, builda em Release e executa os testes unitários, publicando relatório e cobertura como artefato. Deploy roda apenas em push a main/develop: builda e publica a imagem no ACR, aplica ConfigMap + Deployment + HPA no AKS via Kustomize e aguarda o rollout. O smoke test final valida, contra o APIM real: /health do cluster, Swagger habilitado, 401 sem token numa rota protegida, autenticação de cliente por CPF na Auth Function (com tolerância ao cold start do Container App), 400 para CPF inválido, 403 quando um token de cliente tenta uma rota de equipe, acesso liberado às próprias ordens do cliente, e login de funcionário liberando a rota de equipe.</w:t>
      </w:r>
    </w:p>
    <w:p>
      <w:pPr>
        <w:pStyle w:val="Normal"/>
        <w:spacing w:lineRule="auto" w:line="276" w:before="0" w:after="160"/>
        <w:jc w:val="both"/>
        <w:rPr/>
      </w:pPr>
      <w:r>
        <w:rPr>
          <w:b w:val="false"/>
          <w:bCs w:val="false"/>
          <w:i w:val="false"/>
          <w:iCs w:val="false"/>
          <w:color w:val="1A2433"/>
          <w:sz w:val="21"/>
          <w:szCs w:val="21"/>
        </w:rPr>
        <w:t>Os outros três repositórios têm pipelines próprios e independentes: postech-auth-function publica sua imagem no ACR; postech-infra-db e postech-infra-k8s rodam fmt/init/validate/plan em Pull Request (com o plano comentado no PR) e apply na main, também via OIDC. A pipeline de postech-infra-k8s confirma, antes do apply, que a imagem da Function já existe no ACR — se não existir, ela para com uma mensagem clara em vez de falhar no meio do provisionamento.</w:t>
      </w:r>
    </w:p>
    <w:p>
      <w:pPr>
        <w:pStyle w:val="Normal"/>
        <w:spacing w:before="0" w:after="300"/>
        <w:rPr/>
      </w:pPr>
      <w:r>
        <w:rPr/>
      </w:r>
    </w:p>
    <w:p>
      <w:pPr>
        <w:pStyle w:val="Heading1"/>
        <w:pBdr>
          <w:bottom w:val="single" w:sz="6" w:space="4" w:color="1F3864"/>
        </w:pBdr>
        <w:spacing w:before="400" w:after="200"/>
        <w:rPr/>
      </w:pPr>
      <w:r>
        <w:rPr>
          <w:b/>
          <w:bCs/>
          <w:color w:val="1F3864"/>
          <w:sz w:val="32"/>
          <w:szCs w:val="32"/>
        </w:rPr>
        <w:t>5. RFC’s — Request for Comments</w:t>
      </w:r>
    </w:p>
    <w:p>
      <w:pPr>
        <w:pStyle w:val="Normal"/>
        <w:spacing w:lineRule="auto" w:line="276" w:before="0" w:after="160"/>
        <w:jc w:val="both"/>
        <w:rPr/>
      </w:pPr>
      <w:r>
        <w:rPr>
          <w:b w:val="false"/>
          <w:bCs w:val="false"/>
          <w:i w:val="false"/>
          <w:iCs w:val="false"/>
          <w:color w:val="1A2433"/>
          <w:sz w:val="21"/>
          <w:szCs w:val="21"/>
        </w:rPr>
        <w:t>Registradas aqui as decisões que envolveram alternativas de mercado — escolhas de fornecedor ou produto.</w:t>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RFC-0001</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Escolha do Provedor de Nuvem</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Aceita e implementada</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O desafio permite livre escolha do provedor de nuvem. O time tinha crédito educacional disponível na Azure e experiência prévia com o portal, o que pesou na decisão em relação a AWS e GCP.</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Publicar toda a solução na Azure, dentro do resource group pos-tech-fiap de uma subscription acadêmica.</w:t>
      </w:r>
    </w:p>
    <w:p>
      <w:pPr>
        <w:pStyle w:val="Heading3"/>
        <w:spacing w:before="220" w:after="120"/>
        <w:rPr/>
      </w:pPr>
      <w:r>
        <w:rPr>
          <w:b/>
          <w:bCs/>
          <w:color w:val="C0522A"/>
          <w:sz w:val="23"/>
          <w:szCs w:val="23"/>
        </w:rPr>
        <w:t>Consequências</w:t>
      </w:r>
    </w:p>
    <w:p>
      <w:pPr>
        <w:pStyle w:val="ListParagraph"/>
        <w:numPr>
          <w:ilvl w:val="0"/>
          <w:numId w:val="2"/>
        </w:numPr>
        <w:spacing w:lineRule="auto" w:line="271" w:before="0" w:after="90"/>
        <w:rPr/>
      </w:pPr>
      <w:r>
        <w:rPr>
          <w:color w:val="1A2433"/>
          <w:sz w:val="21"/>
          <w:szCs w:val="21"/>
        </w:rPr>
        <w:t>A subscription tem quotas reduzidas por região (vCPU, planos de App Service, disponibilidade regional de Azure SQL) — restrição que moldou diretamente as RFC-0005, ADR-0002 e ADR-0003;</w:t>
      </w:r>
    </w:p>
    <w:p>
      <w:pPr>
        <w:pStyle w:val="ListParagraph"/>
        <w:numPr>
          <w:ilvl w:val="0"/>
          <w:numId w:val="2"/>
        </w:numPr>
        <w:spacing w:lineRule="auto" w:line="271" w:before="0" w:after="90"/>
        <w:rPr/>
      </w:pPr>
      <w:r>
        <w:rPr>
          <w:color w:val="1A2433"/>
          <w:sz w:val="21"/>
          <w:szCs w:val="21"/>
        </w:rPr>
        <w:t>Recursos como o API Management foram reaproveitados via import do Terraform em vez de recriados, para não pagar de novo o tempo de provisionamento (~40 minutos no caso do APIM Developer).</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RFC-0002</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Escolha do Banco de Dados Gerenciado</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Aceita e implementada</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O sistema precisa de um banco relacional gerenciado, compatível com o schema e as queries Dapper/T-SQL já existentes da Fase 2, dentro das quotas regionais disponíveis na subscription.</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Azure SQL Database, tier Basic (5 DTU / 2 GB). O comparativo formal com alternativas (PostgreSQL e MySQL Flexible Server) e a justificativa detalhada estão na Seção 7.</w:t>
      </w:r>
    </w:p>
    <w:p>
      <w:pPr>
        <w:pStyle w:val="Heading3"/>
        <w:spacing w:before="220" w:after="120"/>
        <w:rPr/>
      </w:pPr>
      <w:r>
        <w:rPr>
          <w:b/>
          <w:bCs/>
          <w:color w:val="C0522A"/>
          <w:sz w:val="23"/>
          <w:szCs w:val="23"/>
        </w:rPr>
        <w:t>Consequências</w:t>
      </w:r>
    </w:p>
    <w:p>
      <w:pPr>
        <w:pStyle w:val="ListParagraph"/>
        <w:numPr>
          <w:ilvl w:val="0"/>
          <w:numId w:val="2"/>
        </w:numPr>
        <w:spacing w:lineRule="auto" w:line="271" w:before="0" w:after="90"/>
        <w:rPr/>
      </w:pPr>
      <w:r>
        <w:rPr>
          <w:color w:val="1A2433"/>
          <w:sz w:val="21"/>
          <w:szCs w:val="21"/>
        </w:rPr>
        <w:t>O tier Basic tem um teto de conexões simultâneas e de DTU que não sustentaria uma carga de produção real, mas é suficiente para a demonstração do desafio;</w:t>
      </w:r>
    </w:p>
    <w:p>
      <w:pPr>
        <w:pStyle w:val="ListParagraph"/>
        <w:numPr>
          <w:ilvl w:val="0"/>
          <w:numId w:val="2"/>
        </w:numPr>
        <w:spacing w:lineRule="auto" w:line="271" w:before="0" w:after="90"/>
        <w:rPr/>
      </w:pPr>
      <w:r>
        <w:rPr>
          <w:color w:val="1A2433"/>
          <w:sz w:val="21"/>
          <w:szCs w:val="21"/>
        </w:rPr>
        <w:t>Azure SQL não estava disponível nas regiões eastus/eastus2 desta subscription — o banco roda em centralus, o que colocalizou favoravelmente o Auth Function (também em centralus, por RFC-0005).</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RFC-0003</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Estratégia de Autenticação</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Aceita e implementada</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O desafio exige uma função serverless dedicada para autenticar o cliente por CPF, sem senha. A Fase 2 já tinha login de funcionário por CPF + senha, que precisava conviver com o novo mecanismo sem duplicar a lógica de emissão de token.</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Dois emissores de JWT — a Auth Function para o cliente (CPF apenas) e a própria API para o funcionário (CPF + senha) — assinados com o mesmo segredo HMAC (Azure Key Vault) e aceitos pelo mesmo validate-jwt do gateway. A claim role distingue os dois; a policy Equipe exige um cargo de funcionário; e a checagem de posse (ClienteAcessandoOutro / ClienteAcessandoOrdemDeOutroAsync) garante que um cliente autenticado só acesse os próprios dados.</w:t>
      </w:r>
    </w:p>
    <w:p>
      <w:pPr>
        <w:pStyle w:val="Heading3"/>
        <w:spacing w:before="220" w:after="120"/>
        <w:rPr/>
      </w:pPr>
      <w:r>
        <w:rPr>
          <w:b/>
          <w:bCs/>
          <w:color w:val="C0522A"/>
          <w:sz w:val="23"/>
          <w:szCs w:val="23"/>
        </w:rPr>
        <w:t>Consequências</w:t>
      </w:r>
    </w:p>
    <w:p>
      <w:pPr>
        <w:pStyle w:val="ListParagraph"/>
        <w:numPr>
          <w:ilvl w:val="0"/>
          <w:numId w:val="2"/>
        </w:numPr>
        <w:spacing w:lineRule="auto" w:line="271" w:before="0" w:after="90"/>
        <w:rPr/>
      </w:pPr>
      <w:r>
        <w:rPr>
          <w:color w:val="1A2433"/>
          <w:sz w:val="21"/>
          <w:szCs w:val="21"/>
        </w:rPr>
        <w:t>Defesa em profundidade: o APIM valida o JWT antes de encaminhar a chamada, e a API revalida o mesmo token de forma independente;</w:t>
      </w:r>
    </w:p>
    <w:p>
      <w:pPr>
        <w:pStyle w:val="ListParagraph"/>
        <w:numPr>
          <w:ilvl w:val="0"/>
          <w:numId w:val="2"/>
        </w:numPr>
        <w:spacing w:lineRule="auto" w:line="271" w:before="0" w:after="90"/>
        <w:rPr/>
      </w:pPr>
      <w:r>
        <w:rPr>
          <w:color w:val="1A2433"/>
          <w:sz w:val="21"/>
          <w:szCs w:val="21"/>
        </w:rPr>
        <w:t>A abertura de OS exige o perfil de equipe — o cliente acompanha e aprova sua ordem, mas não a abre diretamente, o que reflete o processo real de recepção da oficina;</w:t>
      </w:r>
    </w:p>
    <w:p>
      <w:pPr>
        <w:pStyle w:val="ListParagraph"/>
        <w:numPr>
          <w:ilvl w:val="0"/>
          <w:numId w:val="2"/>
        </w:numPr>
        <w:spacing w:lineRule="auto" w:line="271" w:before="0" w:after="90"/>
        <w:rPr/>
      </w:pPr>
      <w:r>
        <w:rPr>
          <w:color w:val="1A2433"/>
          <w:sz w:val="21"/>
          <w:szCs w:val="21"/>
        </w:rPr>
        <w:t>O corpo da resposta dos dois fluxos usa convenções de nomes diferentes (access_token/cliente_id no Function vs. accessToken/refreshToken na API) — um cliente HTTP que consome os dois precisa tratar essa diferença.</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RFC-0004</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Escolha do API Gateway</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Aceita e implementada</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A solução precisa de um ponto único de entrada que valide o JWT, aplique rate limiting e propague um identificador de correlação, na frente tanto da API quanto da Auth Function.</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Azure API Management, SKU Developer — um recurso já existente na subscription, importado para o state do Terraform (com prevent_destroy) em vez de recriado.</w:t>
      </w:r>
    </w:p>
    <w:p>
      <w:pPr>
        <w:pStyle w:val="Heading3"/>
        <w:spacing w:before="220" w:after="120"/>
        <w:rPr/>
      </w:pPr>
      <w:r>
        <w:rPr>
          <w:b/>
          <w:bCs/>
          <w:color w:val="C0522A"/>
          <w:sz w:val="23"/>
          <w:szCs w:val="23"/>
        </w:rPr>
        <w:t>Consequências</w:t>
      </w:r>
    </w:p>
    <w:p>
      <w:pPr>
        <w:pStyle w:val="ListParagraph"/>
        <w:numPr>
          <w:ilvl w:val="0"/>
          <w:numId w:val="2"/>
        </w:numPr>
        <w:spacing w:lineRule="auto" w:line="271" w:before="0" w:after="90"/>
        <w:rPr/>
      </w:pPr>
      <w:r>
        <w:rPr>
          <w:color w:val="1A2433"/>
          <w:sz w:val="21"/>
          <w:szCs w:val="21"/>
        </w:rPr>
        <w:t>Duas APIs publicadas no mesmo gateway (postechallenge-api e postechallenge-auth), cada uma com sua política de rate limiting e roteamento próprios;</w:t>
      </w:r>
    </w:p>
    <w:p>
      <w:pPr>
        <w:pStyle w:val="ListParagraph"/>
        <w:numPr>
          <w:ilvl w:val="0"/>
          <w:numId w:val="2"/>
        </w:numPr>
        <w:spacing w:lineRule="auto" w:line="271" w:before="0" w:after="90"/>
        <w:rPr/>
      </w:pPr>
      <w:r>
        <w:rPr>
          <w:color w:val="1A2433"/>
          <w:sz w:val="21"/>
          <w:szCs w:val="21"/>
        </w:rPr>
        <w:t>O SKU Developer não tem SLA de produção nem alta disponibilidade — adequado para a demonstração do desafio, não para uma carga real.</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RFC-0005</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Hospedagem da Função Serverless de Autenticação</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Aceita e implementada</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O destino padrão para uma Azure Function é um Function App, hospedado sobre um plano de App Service. A subscription usada na entrega retornou quota zero para todos os planos testados — Y1, F1, B1, S1, P0v3 e P1v3 — tornando essa opção padrão inviável.</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Hospedar o Auth Function em Azure Container Apps, rodando a imagem base oficial do Azure Functions (.NET 8 isolated worker) — o código, os triggers e os bindings são exatamente os de uma Function normal; muda apenas o plano de hospedagem. O ambiente de Container Apps ficou em centralus, a única região com quota disponível para esse recurso nesta subscription.</w:t>
      </w:r>
    </w:p>
    <w:p>
      <w:pPr>
        <w:pStyle w:val="Heading3"/>
        <w:spacing w:before="220" w:after="120"/>
        <w:rPr/>
      </w:pPr>
      <w:r>
        <w:rPr>
          <w:b/>
          <w:bCs/>
          <w:color w:val="C0522A"/>
          <w:sz w:val="23"/>
          <w:szCs w:val="23"/>
        </w:rPr>
        <w:t>Consequências</w:t>
      </w:r>
    </w:p>
    <w:p>
      <w:pPr>
        <w:pStyle w:val="ListParagraph"/>
        <w:numPr>
          <w:ilvl w:val="0"/>
          <w:numId w:val="2"/>
        </w:numPr>
        <w:spacing w:lineRule="auto" w:line="271" w:before="0" w:after="90"/>
        <w:rPr/>
      </w:pPr>
      <w:r>
        <w:rPr>
          <w:color w:val="1A2433"/>
          <w:sz w:val="21"/>
          <w:szCs w:val="21"/>
        </w:rPr>
        <w:t>A identidade do Container App é gerenciada pelo usuário (user-assigned), não a identidade de sistema padrão — necessária porque o app precisa da permissão AcrPull já na primeira revisão para puxar a imagem;</w:t>
      </w:r>
    </w:p>
    <w:p>
      <w:pPr>
        <w:pStyle w:val="ListParagraph"/>
        <w:numPr>
          <w:ilvl w:val="0"/>
          <w:numId w:val="2"/>
        </w:numPr>
        <w:spacing w:lineRule="auto" w:line="271" w:before="0" w:after="90"/>
        <w:rPr/>
      </w:pPr>
      <w:r>
        <w:rPr>
          <w:color w:val="1A2433"/>
          <w:sz w:val="21"/>
          <w:szCs w:val="21"/>
        </w:rPr>
        <w:t>Escalar a zero significa que a primeira requisição após um período ocioso paga o custo de cold start do host de Functions.</w:t>
      </w:r>
    </w:p>
    <w:p>
      <w:pPr>
        <w:pStyle w:val="Normal"/>
        <w:rPr/>
      </w:pPr>
      <w:r>
        <w:rPr/>
      </w:r>
      <w:r>
        <w:br w:type="page"/>
      </w:r>
    </w:p>
    <w:p>
      <w:pPr>
        <w:pStyle w:val="Heading1"/>
        <w:pBdr>
          <w:bottom w:val="single" w:sz="6" w:space="4" w:color="1F3864"/>
        </w:pBdr>
        <w:spacing w:before="0" w:after="200"/>
        <w:rPr/>
      </w:pPr>
      <w:r>
        <w:rPr>
          <w:b/>
          <w:bCs/>
          <w:color w:val="1F3864"/>
          <w:sz w:val="32"/>
          <w:szCs w:val="32"/>
        </w:rPr>
        <w:t>6. ADRs — Architecture Decision Records</w:t>
      </w:r>
    </w:p>
    <w:p>
      <w:pPr>
        <w:pStyle w:val="Normal"/>
        <w:spacing w:lineRule="auto" w:line="276" w:before="0" w:after="160"/>
        <w:jc w:val="both"/>
        <w:rPr/>
      </w:pPr>
      <w:r>
        <w:rPr>
          <w:b w:val="false"/>
          <w:bCs w:val="false"/>
          <w:i w:val="false"/>
          <w:iCs w:val="false"/>
          <w:color w:val="1A2433"/>
          <w:sz w:val="21"/>
          <w:szCs w:val="21"/>
        </w:rPr>
        <w:t>Registradas aqui as decisões arquiteturais consideradas permanentes para o time, independentes de qual fornecedor específico as implementa.</w:t>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ADR-0001</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Padrão de comunicação — Transactional Outbox</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Aceito — parcialmente implementado</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O envio de e-mail ao cliente (aprovação de orçamento) não deve bloquear nem falhar a transação de negócio que o originou.</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Gravar a mensagem em uma tabela EmailOutbox na mesma transação do caso de uso, desacoplando o envio do fluxo transacional.</w:t>
      </w:r>
    </w:p>
    <w:p>
      <w:pPr>
        <w:pStyle w:val="Heading3"/>
        <w:spacing w:before="220" w:after="120"/>
        <w:rPr/>
      </w:pPr>
      <w:r>
        <w:rPr>
          <w:b/>
          <w:bCs/>
          <w:color w:val="C0522A"/>
          <w:sz w:val="23"/>
          <w:szCs w:val="23"/>
        </w:rPr>
        <w:t>Consequências</w:t>
      </w:r>
    </w:p>
    <w:p>
      <w:pPr>
        <w:pStyle w:val="ListParagraph"/>
        <w:numPr>
          <w:ilvl w:val="0"/>
          <w:numId w:val="2"/>
        </w:numPr>
        <w:spacing w:lineRule="auto" w:line="271" w:before="0" w:after="90"/>
        <w:rPr/>
      </w:pPr>
      <w:r>
        <w:rPr>
          <w:color w:val="1A2433"/>
          <w:sz w:val="21"/>
          <w:szCs w:val="21"/>
        </w:rPr>
        <w:t>Nesta entrega existe apenas o lado produtor (EnviarOrcamentoUseCase grava na tabela) — nenhum dos quatro repositórios contém um processo consumidor que efetivamente envie o e-mail. É um passo natural de uma próxima iteração;</w:t>
      </w:r>
    </w:p>
    <w:p>
      <w:pPr>
        <w:pStyle w:val="ListParagraph"/>
        <w:numPr>
          <w:ilvl w:val="0"/>
          <w:numId w:val="2"/>
        </w:numPr>
        <w:spacing w:lineRule="auto" w:line="271" w:before="0" w:after="90"/>
        <w:rPr/>
      </w:pPr>
      <w:r>
        <w:rPr>
          <w:color w:val="1A2433"/>
          <w:sz w:val="21"/>
          <w:szCs w:val="21"/>
        </w:rPr>
        <w:t>A abertura de OS não usa o Outbox em nenhum momento — apenas o envio de orçamento.</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ADR-0002</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Escalabilidade — HPA sobre nós fixos</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Aceito</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O desafio exige escalabilidade dinâmica baseada em consumo de recursos. A quota regional da subscription é de 4 vCPU.</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Cluster AKS com 2 nós fixos Standard_D2as_v7 (4 vCPU no total, o teto da quota), sem cluster autoscaler. A escalabilidade acontece inteiramente no nível de pod, via HPA (2 a 5 réplicas, CPU alvo 70%, janelas de estabilização de 30s no scale-up e 120s no scale-down).</w:t>
      </w:r>
    </w:p>
    <w:p>
      <w:pPr>
        <w:pStyle w:val="Heading3"/>
        <w:spacing w:before="220" w:after="120"/>
        <w:rPr/>
      </w:pPr>
      <w:r>
        <w:rPr>
          <w:b/>
          <w:bCs/>
          <w:color w:val="C0522A"/>
          <w:sz w:val="23"/>
          <w:szCs w:val="23"/>
        </w:rPr>
        <w:t>Consequências</w:t>
      </w:r>
    </w:p>
    <w:p>
      <w:pPr>
        <w:pStyle w:val="ListParagraph"/>
        <w:numPr>
          <w:ilvl w:val="0"/>
          <w:numId w:val="2"/>
        </w:numPr>
        <w:spacing w:lineRule="auto" w:line="271" w:before="0" w:after="90"/>
        <w:rPr/>
      </w:pPr>
      <w:r>
        <w:rPr>
          <w:color w:val="1A2433"/>
          <w:sz w:val="21"/>
          <w:szCs w:val="21"/>
        </w:rPr>
        <w:t>5 réplicas a 150m de request cabem com folga nos 4 vCPU disponíveis, ao lado do kube-system e do agente do Datadog;</w:t>
      </w:r>
    </w:p>
    <w:p>
      <w:pPr>
        <w:pStyle w:val="ListParagraph"/>
        <w:numPr>
          <w:ilvl w:val="0"/>
          <w:numId w:val="2"/>
        </w:numPr>
        <w:spacing w:lineRule="auto" w:line="271" w:before="0" w:after="90"/>
        <w:rPr/>
      </w:pPr>
      <w:r>
        <w:rPr>
          <w:color w:val="1A2433"/>
          <w:sz w:val="21"/>
          <w:szCs w:val="21"/>
        </w:rPr>
        <w:t>Um pico de carga que exigisse mais do que 5 pods, ou mais do que 2 nós, esbarraria na quota — não há caminho de escala horizontal além desse teto nesta subscription.</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ADR-0003</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Service LoadBalancer em vez de Ingress</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Aceito</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A aplicação precisa de um ponto de entrada no cluster para o APIM encaminhar as requisições.</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Expor a API por um Service do tipo LoadBalancer, sem ingress-nginx nem cert-manager — o próprio APIM já termina o TLS antes do tráfego chegar ao cluster, então um Ingress adicionaria uma camada sem função. O Service é criado pelo Terraform de postech-infra-k8s, e não pela aplicação, porque o APIM precisa do IP dele como backend antes dos pods subirem.</w:t>
      </w:r>
    </w:p>
    <w:p>
      <w:pPr>
        <w:pStyle w:val="Heading3"/>
        <w:spacing w:before="220" w:after="120"/>
        <w:rPr/>
      </w:pPr>
      <w:r>
        <w:rPr>
          <w:b/>
          <w:bCs/>
          <w:color w:val="C0522A"/>
          <w:sz w:val="23"/>
          <w:szCs w:val="23"/>
        </w:rPr>
        <w:t>Consequências</w:t>
      </w:r>
    </w:p>
    <w:p>
      <w:pPr>
        <w:pStyle w:val="ListParagraph"/>
        <w:numPr>
          <w:ilvl w:val="0"/>
          <w:numId w:val="2"/>
        </w:numPr>
        <w:spacing w:lineRule="auto" w:line="271" w:before="0" w:after="90"/>
        <w:rPr/>
      </w:pPr>
      <w:r>
        <w:rPr>
          <w:color w:val="1A2433"/>
          <w:sz w:val="21"/>
          <w:szCs w:val="21"/>
        </w:rPr>
        <w:t>O tráfego entre o APIM e o cluster é HTTP simples — HttpsRedirection fica desligado no ambiente Azure;</w:t>
      </w:r>
    </w:p>
    <w:p>
      <w:pPr>
        <w:pStyle w:val="ListParagraph"/>
        <w:numPr>
          <w:ilvl w:val="0"/>
          <w:numId w:val="2"/>
        </w:numPr>
        <w:spacing w:lineRule="auto" w:line="271" w:before="0" w:after="90"/>
        <w:rPr/>
      </w:pPr>
      <w:r>
        <w:rPr>
          <w:color w:val="1A2433"/>
          <w:sz w:val="21"/>
          <w:szCs w:val="21"/>
        </w:rPr>
        <w:t>Trocar de estratégia (por exemplo, para Ingress com múltiplos hosts) exigiria coordenar uma mudança em dois repositórios ao mesmo tempo.</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ADR-0004</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Ferramenta de observabilidade — Datadog</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Aceito</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O desafio exige monitoramento com painéis de volume de OS, tempo por status, erros de integração, latência e consumo de recursos.</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Datadog: Cluster Agent (Helm) com admission controller injetando o tracer .NET automaticamente nos pods, log forwarding nativo do Container App para o Auth Function, e um forwarder lendo o Log Analytics Workspace para onde o APIM exporta GatewayLogs. Dois testes de synthetics complementam a cadeia, batendo no /health do gateway e da Function a cada 5 minutos.</w:t>
      </w:r>
    </w:p>
    <w:p>
      <w:pPr>
        <w:pStyle w:val="Heading3"/>
        <w:spacing w:before="220" w:after="120"/>
        <w:rPr/>
      </w:pPr>
      <w:r>
        <w:rPr>
          <w:b/>
          <w:bCs/>
          <w:color w:val="C0522A"/>
          <w:sz w:val="23"/>
          <w:szCs w:val="23"/>
        </w:rPr>
        <w:t>Consequências</w:t>
      </w:r>
    </w:p>
    <w:p>
      <w:pPr>
        <w:pStyle w:val="ListParagraph"/>
        <w:numPr>
          <w:ilvl w:val="0"/>
          <w:numId w:val="2"/>
        </w:numPr>
        <w:spacing w:lineRule="auto" w:line="271" w:before="0" w:after="90"/>
        <w:rPr/>
      </w:pPr>
      <w:r>
        <w:rPr>
          <w:color w:val="1A2433"/>
          <w:sz w:val="21"/>
          <w:szCs w:val="21"/>
        </w:rPr>
        <w:t>Nenhuma alteração no Dockerfile da aplicação foi necessária — a instrumentação acontece via admission controller no cluster;</w:t>
      </w:r>
    </w:p>
    <w:p>
      <w:pPr>
        <w:pStyle w:val="ListParagraph"/>
        <w:numPr>
          <w:ilvl w:val="0"/>
          <w:numId w:val="2"/>
        </w:numPr>
        <w:spacing w:lineRule="auto" w:line="271" w:before="0" w:after="90"/>
        <w:rPr/>
      </w:pPr>
      <w:r>
        <w:rPr>
          <w:color w:val="1A2433"/>
          <w:sz w:val="21"/>
          <w:szCs w:val="21"/>
        </w:rPr>
        <w:t>O Auth Function, por rodar em Container Apps (sem DaemonSet), depende do log forwarding nativo em vez do Cluster Agent — um caminho de observabilidade diferente do resto do sistema.</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ADR-0005</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Segregação em quatro repositórios</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Aceito</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O desafio exige quatro repositórios — Function, infraestrutura de banco, infraestrutura de Kubernetes e aplicação —, cada um com CI/CD próprio, branch main protegida e Pull Request obrigatório.</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Adotar a segregação exigida: postech-auth-function, postech-infra-db, postech-app e postech-infra-k8s, cada um autenticando na Azure por OIDC (sem segredo de cliente armazenado). O contrato entre eles é o Azure Key Vault (criado por postech-infra-db, fonte única da connection string e do segredo JWT) e o Azure Container Registry (criado por postech-infra-k8s, onde postech-app e postech-auth-function publicam suas imagens).</w:t>
      </w:r>
    </w:p>
    <w:p>
      <w:pPr>
        <w:pStyle w:val="Heading3"/>
        <w:spacing w:before="220" w:after="120"/>
        <w:rPr/>
      </w:pPr>
      <w:r>
        <w:rPr>
          <w:b/>
          <w:bCs/>
          <w:color w:val="C0522A"/>
          <w:sz w:val="23"/>
          <w:szCs w:val="23"/>
        </w:rPr>
        <w:t>Consequências</w:t>
      </w:r>
    </w:p>
    <w:p>
      <w:pPr>
        <w:pStyle w:val="ListParagraph"/>
        <w:numPr>
          <w:ilvl w:val="0"/>
          <w:numId w:val="2"/>
        </w:numPr>
        <w:spacing w:lineRule="auto" w:line="271" w:before="0" w:after="90"/>
        <w:rPr/>
      </w:pPr>
      <w:r>
        <w:rPr>
          <w:color w:val="1A2433"/>
          <w:sz w:val="21"/>
          <w:szCs w:val="21"/>
        </w:rPr>
        <w:t>Isolamento de responsabilidade e de blast radius, com uma dependência de ordem entre pipelines: banco antes de Key Vault, Key Vault antes de infra-k8s, imagem publicada antes do apply de infra-k8s;</w:t>
      </w:r>
    </w:p>
    <w:p>
      <w:pPr>
        <w:pStyle w:val="ListParagraph"/>
        <w:numPr>
          <w:ilvl w:val="0"/>
          <w:numId w:val="2"/>
        </w:numPr>
        <w:spacing w:lineRule="auto" w:line="271" w:before="0" w:after="0"/>
        <w:rPr/>
        <w:sectPr>
          <w:footerReference w:type="even" r:id="rId24"/>
          <w:footerReference w:type="default" r:id="rId25"/>
          <w:footerReference w:type="first" r:id="rId26"/>
          <w:type w:val="nextPage"/>
          <w:pgSz w:w="11906" w:h="16838"/>
          <w:pgMar w:left="1440" w:right="1440" w:gutter="0" w:header="0" w:top="1440" w:footer="708" w:bottom="1200"/>
          <w:pgNumType w:fmt="decimal"/>
          <w:formProt w:val="false"/>
          <w:textDirection w:val="lrTb"/>
          <w:docGrid w:type="default" w:linePitch="360" w:charSpace="0"/>
        </w:sectPr>
      </w:pPr>
      <w:r>
        <w:rPr>
          <w:color w:val="1A2433"/>
          <w:sz w:val="21"/>
          <w:szCs w:val="21"/>
        </w:rPr>
        <w:t>prevent_destroy está ativo tanto no APIM quanto no banco de dados, para que um terraform destroy disparado no repositório errado não os leve junto.</w:t>
      </w:r>
      <w:r>
        <w:br w:type="page"/>
      </w:r>
    </w:p>
    <w:p>
      <w:pPr>
        <w:pStyle w:val="Heading1"/>
        <w:pBdr>
          <w:bottom w:val="single" w:sz="6" w:space="4" w:color="1F3864"/>
        </w:pBdr>
        <w:spacing w:before="0" w:after="200"/>
        <w:rPr/>
      </w:pPr>
      <w:r>
        <w:rPr>
          <w:b/>
          <w:bCs/>
          <w:color w:val="1F3864"/>
          <w:sz w:val="32"/>
          <w:szCs w:val="32"/>
        </w:rPr>
        <w:t>7. Banco de Dados — Justificativa e Modelo Relacional</w:t>
      </w:r>
    </w:p>
    <w:p>
      <w:pPr>
        <w:pStyle w:val="Heading2"/>
        <w:spacing w:before="300" w:after="150"/>
        <w:rPr/>
      </w:pPr>
      <w:r>
        <w:rPr>
          <w:b/>
          <w:bCs/>
          <w:color w:val="1F3864"/>
          <w:sz w:val="26"/>
          <w:szCs w:val="26"/>
        </w:rPr>
        <w:t>7.1 Comparativo formal entre motores</w:t>
      </w:r>
    </w:p>
    <w:tbl>
      <w:tblPr>
        <w:tblW w:w="9326" w:type="dxa"/>
        <w:jc w:val="start"/>
        <w:tblInd w:w="0" w:type="dxa"/>
        <w:tblLayout w:type="fixed"/>
        <w:tblCellMar>
          <w:top w:w="80" w:type="dxa"/>
          <w:start w:w="100" w:type="dxa"/>
          <w:bottom w:w="80" w:type="dxa"/>
          <w:end w:w="100" w:type="dxa"/>
        </w:tblCellMar>
      </w:tblPr>
      <w:tblGrid>
        <w:gridCol w:w="2798"/>
        <w:gridCol w:w="2200"/>
        <w:gridCol w:w="2200"/>
        <w:gridCol w:w="2128"/>
      </w:tblGrid>
      <w:tr>
        <w:trPr>
          <w:tblHeader w:val="true"/>
        </w:trPr>
        <w:tc>
          <w:tcPr>
            <w:tcW w:w="2798"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Critério</w:t>
            </w:r>
          </w:p>
        </w:tc>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Azure SQL Database</w:t>
            </w:r>
          </w:p>
        </w:tc>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PostgreSQL Flexible Server</w:t>
            </w:r>
          </w:p>
        </w:tc>
        <w:tc>
          <w:tcPr>
            <w:tcW w:w="2128"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MySQL Flexible Server</w:t>
            </w:r>
          </w:p>
        </w:tc>
      </w:tr>
      <w:tr>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Compatibilidade com o schema/queries existentes</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Total — T-SQL nativo, sem tradução</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Exigiria portar toda a camada Dapper/T-SQL</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Idem</w:t>
            </w:r>
          </w:p>
        </w:tc>
      </w:tr>
      <w:tr>
        <w:trPr/>
        <w:tc>
          <w:tcPr>
            <w:tcW w:w="2798"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Tiers de baixo custo</w:t>
            </w:r>
          </w:p>
        </w:tc>
        <w:tc>
          <w:tcPr>
            <w:tcW w:w="2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Basic (5 DTU/2GB), sob demanda acadêmica</w:t>
            </w:r>
          </w:p>
        </w:tc>
        <w:tc>
          <w:tcPr>
            <w:tcW w:w="2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Burstable B1ms, similar</w:t>
            </w:r>
          </w:p>
        </w:tc>
        <w:tc>
          <w:tcPr>
            <w:tcW w:w="2128"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Burstable B1s, similar</w:t>
            </w:r>
          </w:p>
        </w:tc>
      </w:tr>
      <w:tr>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Disponibilidade regional nesta subscription</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Bloqueado em eastus/eastus2; disponível em centralus</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Disponível nas regiões testadas</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Disponível nas regiões testadas</w:t>
            </w:r>
          </w:p>
        </w:tc>
      </w:tr>
      <w:tr>
        <w:trPr/>
        <w:tc>
          <w:tcPr>
            <w:tcW w:w="2798"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Curva de adoção do time</w:t>
            </w:r>
          </w:p>
        </w:tc>
        <w:tc>
          <w:tcPr>
            <w:tcW w:w="2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Já era o motor da Fase 2 (SQL Server)</w:t>
            </w:r>
          </w:p>
        </w:tc>
        <w:tc>
          <w:tcPr>
            <w:tcW w:w="2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Nova, exigiria retrabalho de queries</w:t>
            </w:r>
          </w:p>
        </w:tc>
        <w:tc>
          <w:tcPr>
            <w:tcW w:w="2128"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Nova, exigiria retrabalho de queries</w:t>
            </w:r>
          </w:p>
        </w:tc>
      </w:tr>
    </w:tbl>
    <w:p>
      <w:pPr>
        <w:pStyle w:val="Normal"/>
        <w:spacing w:before="0" w:after="160"/>
        <w:rPr/>
      </w:pPr>
      <w:r>
        <w:rPr/>
      </w:r>
    </w:p>
    <w:p>
      <w:pPr>
        <w:pStyle w:val="Heading2"/>
        <w:spacing w:before="300" w:after="150"/>
        <w:rPr/>
      </w:pPr>
      <w:r>
        <w:rPr>
          <w:b/>
          <w:bCs/>
          <w:color w:val="1F3864"/>
          <w:sz w:val="26"/>
          <w:szCs w:val="26"/>
        </w:rPr>
        <w:t>7.2 Decisão</w:t>
      </w:r>
    </w:p>
    <w:p>
      <w:pPr>
        <w:pStyle w:val="Normal"/>
        <w:spacing w:lineRule="auto" w:line="276" w:before="0" w:after="160"/>
        <w:jc w:val="both"/>
        <w:rPr/>
      </w:pPr>
      <w:r>
        <w:rPr>
          <w:b w:val="false"/>
          <w:bCs w:val="false"/>
          <w:i w:val="false"/>
          <w:iCs w:val="false"/>
          <w:color w:val="1A2433"/>
          <w:sz w:val="21"/>
          <w:szCs w:val="21"/>
        </w:rPr>
        <w:t>Manter Azure SQL Database, no tier Basic (5 DTU / 2 GB). A compatibilidade total com o schema e as queries Dapper/T-SQL herdados da Fase 2 elimina o custo e o risco de portar a camada de persistência sob o prazo do desafio. O bloqueio de provisionamento em eastus/eastus2 nesta subscription acadêmica moveu o banco para centralus — decisão que, como efeito colateral favorável, colocalizou o banco com o Auth Function (RFC-0005), também hospedado em centralus pela mesma razão de quota.</w:t>
      </w:r>
    </w:p>
    <w:p>
      <w:pPr>
        <w:pStyle w:val="Normal"/>
        <w:spacing w:before="0" w:after="160"/>
        <w:rPr/>
      </w:pPr>
      <w:r>
        <w:rPr/>
      </w:r>
    </w:p>
    <w:p>
      <w:pPr>
        <w:pStyle w:val="Heading2"/>
        <w:spacing w:before="300" w:after="150"/>
        <w:rPr/>
      </w:pPr>
      <w:r>
        <w:rPr>
          <w:b/>
          <w:bCs/>
          <w:color w:val="1F3864"/>
          <w:sz w:val="26"/>
          <w:szCs w:val="26"/>
        </w:rPr>
        <w:t>7.3 Ajustes no modelo relacional</w:t>
      </w:r>
    </w:p>
    <w:p>
      <w:pPr>
        <w:pStyle w:val="Normal"/>
        <w:spacing w:lineRule="auto" w:line="276" w:before="0" w:after="160"/>
        <w:jc w:val="both"/>
        <w:rPr/>
      </w:pPr>
      <w:r>
        <w:rPr>
          <w:b w:val="false"/>
          <w:bCs w:val="false"/>
          <w:i w:val="false"/>
          <w:iCs w:val="false"/>
          <w:color w:val="1A2433"/>
          <w:sz w:val="21"/>
          <w:szCs w:val="21"/>
        </w:rPr>
        <w:t>O schema efetivamente aplicado nesta entrega (postech-infra-db/sql/schema-azure.sql) é, na quase totalidade, o mesmo da Fase 2. A única mudança real desde a última revisão deste documento foi a coluna Ativo em Funcionario, adicionada para permitir desativação em vez de exclusão — sem ela, a rota de exclusão de funcionário nunca funcionava, porque a tabela é referenciada por Seguranca, OrdemServico, Itens e Status, nenhuma com cascade, e um DELETE de verdade sempre esbarrava na FK do login.</w:t>
      </w:r>
    </w:p>
    <w:p>
      <w:pPr>
        <w:pStyle w:val="Normal"/>
        <w:spacing w:lineRule="auto" w:line="276" w:before="0" w:after="160"/>
        <w:jc w:val="both"/>
        <w:rPr/>
      </w:pPr>
      <w:r>
        <w:rPr>
          <w:b w:val="false"/>
          <w:bCs w:val="false"/>
          <w:i w:val="false"/>
          <w:iCs w:val="false"/>
          <w:color w:val="1A2433"/>
          <w:sz w:val="21"/>
          <w:szCs w:val="21"/>
        </w:rPr>
        <w:t>Os demais ajustes abaixo continuam como recomendação formal para um próximo incremento, não como descrição do que já existe implementado. A lacuna mais relevante é estrutural: o próprio desafio da Fase 3 parte da premissa de que a oficina expandiu para múltiplas unidades físicas, mas o schema não tem nenhuma tabela ou coluna que represente uma unidade — a modelagem continua implicitamente de oficina única.</w:t>
      </w:r>
    </w:p>
    <w:p>
      <w:pPr>
        <w:pStyle w:val="ListParagraph"/>
        <w:numPr>
          <w:ilvl w:val="0"/>
          <w:numId w:val="2"/>
        </w:numPr>
        <w:spacing w:lineRule="auto" w:line="271" w:before="0" w:after="90"/>
        <w:rPr/>
      </w:pPr>
      <w:r>
        <w:rPr>
          <w:color w:val="1A2433"/>
          <w:sz w:val="21"/>
          <w:szCs w:val="21"/>
        </w:rPr>
        <w:t>Nova entidade Unidade (filial): nenhuma tabela do schema atual representa uma unidade física. É a lacuna mais direta em relação à premissa de negócio da Fase 3;</w:t>
      </w:r>
    </w:p>
    <w:p>
      <w:pPr>
        <w:pStyle w:val="ListParagraph"/>
        <w:numPr>
          <w:ilvl w:val="0"/>
          <w:numId w:val="2"/>
        </w:numPr>
        <w:spacing w:lineRule="auto" w:line="271" w:before="0" w:after="90"/>
        <w:rPr/>
      </w:pPr>
      <w:r>
        <w:rPr>
          <w:color w:val="1A2433"/>
          <w:sz w:val="21"/>
          <w:szCs w:val="21"/>
        </w:rPr>
        <w:t>FK UnidadeId em Funcionario: cada colaborador passaria a estar lotado em uma unidade específica;</w:t>
      </w:r>
    </w:p>
    <w:p>
      <w:pPr>
        <w:pStyle w:val="ListParagraph"/>
        <w:numPr>
          <w:ilvl w:val="0"/>
          <w:numId w:val="2"/>
        </w:numPr>
        <w:spacing w:lineRule="auto" w:line="271" w:before="0" w:after="90"/>
        <w:rPr/>
      </w:pPr>
      <w:r>
        <w:rPr>
          <w:color w:val="1A2433"/>
          <w:sz w:val="21"/>
          <w:szCs w:val="21"/>
        </w:rPr>
        <w:t>FK UnidadeId em OrdemServico: cada OS passaria a registrar em qual unidade foi executada, sustentando relatórios operacionais por filial;</w:t>
      </w:r>
    </w:p>
    <w:p>
      <w:pPr>
        <w:pStyle w:val="ListParagraph"/>
        <w:numPr>
          <w:ilvl w:val="0"/>
          <w:numId w:val="2"/>
        </w:numPr>
        <w:spacing w:lineRule="auto" w:line="271" w:before="0" w:after="90"/>
        <w:rPr/>
      </w:pPr>
      <w:r>
        <w:rPr>
          <w:color w:val="1A2433"/>
          <w:sz w:val="21"/>
          <w:szCs w:val="21"/>
        </w:rPr>
        <w:t>Separação de Peças (catálogo) e EstoquePeca (saldo por unidade): hoje a tabela Pecas mistura atributos de catálogo com um único contador global de QuantidadeEstoque — que deixa de fazer sentido assim que existe mais de uma oficina física com estoque próprio;</w:t>
      </w:r>
    </w:p>
    <w:p>
      <w:pPr>
        <w:pStyle w:val="ListParagraph"/>
        <w:numPr>
          <w:ilvl w:val="0"/>
          <w:numId w:val="2"/>
        </w:numPr>
        <w:spacing w:lineRule="auto" w:line="271" w:before="0" w:after="90"/>
        <w:rPr/>
      </w:pPr>
      <w:r>
        <w:rPr>
          <w:color w:val="1A2433"/>
          <w:sz w:val="21"/>
          <w:szCs w:val="21"/>
        </w:rPr>
        <w:t>Constraint UNIQUE em Cliente.CPF, Cliente.CNPJ e Funcionario.CPF: continuam ausentes no schema publicado, o que permite cadastros duplicados do mesmo documento. Isso ganha um agravante concreto na Fase 3: a autenticação de clientes por CPF (RFC-0003) depende de o CPF identificar um único cliente de forma inequívoca — o Auth Function faz um SELECT ... WHERE CPF = @Cpf esperando no máximo uma linha, e o schema atual não garante isso;</w:t>
      </w:r>
    </w:p>
    <w:p>
      <w:pPr>
        <w:pStyle w:val="ListParagraph"/>
        <w:numPr>
          <w:ilvl w:val="0"/>
          <w:numId w:val="2"/>
        </w:numPr>
        <w:spacing w:lineRule="auto" w:line="271" w:before="0" w:after="90"/>
        <w:rPr/>
      </w:pPr>
      <w:r>
        <w:rPr>
          <w:color w:val="1A2433"/>
          <w:sz w:val="21"/>
          <w:szCs w:val="21"/>
        </w:rPr>
        <w:t>CHECK constraint em Cliente garantindo exatamente um entre CPF e CNPJ preenchido — ambos continuam opcionais sem essa regra;</w:t>
      </w:r>
    </w:p>
    <w:p>
      <w:pPr>
        <w:pStyle w:val="ListParagraph"/>
        <w:numPr>
          <w:ilvl w:val="0"/>
          <w:numId w:val="2"/>
        </w:numPr>
        <w:spacing w:lineRule="auto" w:line="271" w:before="0" w:after="90"/>
        <w:rPr/>
      </w:pPr>
      <w:r>
        <w:rPr>
          <w:color w:val="1A2433"/>
          <w:sz w:val="21"/>
          <w:szCs w:val="21"/>
        </w:rPr>
        <w:t>CHECK constraint em Itens garantindo exclusividade entre IdFuncionario e IdPeca conforme TipoItem — inconsistências hoje dependem inteiramente da disciplina da camada de aplicação;</w:t>
      </w:r>
    </w:p>
    <w:p>
      <w:pPr>
        <w:pStyle w:val="ListParagraph"/>
        <w:numPr>
          <w:ilvl w:val="0"/>
          <w:numId w:val="2"/>
        </w:numPr>
        <w:spacing w:lineRule="auto" w:line="271" w:before="0" w:after="0"/>
        <w:rPr/>
        <w:sectPr>
          <w:footerReference w:type="even" r:id="rId27"/>
          <w:footerReference w:type="default" r:id="rId28"/>
          <w:footerReference w:type="first" r:id="rId29"/>
          <w:type w:val="nextPage"/>
          <w:pgSz w:w="11906" w:h="16838"/>
          <w:pgMar w:left="1440" w:right="1440" w:gutter="0" w:header="0" w:top="1440" w:footer="708" w:bottom="1200"/>
          <w:pgNumType w:fmt="decimal"/>
          <w:formProt w:val="false"/>
          <w:textDirection w:val="lrTb"/>
          <w:docGrid w:type="default" w:linePitch="360" w:charSpace="0"/>
        </w:sectPr>
      </w:pPr>
      <w:r>
        <w:rPr>
          <w:color w:val="1A2433"/>
          <w:sz w:val="21"/>
          <w:szCs w:val="21"/>
        </w:rPr>
        <w:t>Índices não clusterizados IX_OrdemServico_Status e IX_OrdemServico_CriadoEm: sustentariam diretamente dois dos painéis do dashboard já em produção no Datadog — volume diário de OS e tempo médio por status —, hoje alimentados sem esse suporte de índice à medida que o volume cresce.</w:t>
      </w:r>
    </w:p>
    <w:p>
      <w:pPr>
        <w:pStyle w:val="Heading2"/>
        <w:spacing w:before="300" w:after="150"/>
        <w:rPr/>
      </w:pPr>
      <w:r>
        <w:rPr>
          <w:b/>
          <w:bCs/>
          <w:color w:val="1F3864"/>
          <w:sz w:val="26"/>
          <w:szCs w:val="26"/>
        </w:rPr>
        <w:t>7.4 Diagrama Entidade-Relacionamento</w:t>
      </w:r>
    </w:p>
    <w:p>
      <w:pPr>
        <w:pStyle w:val="Normal"/>
        <w:jc w:val="center"/>
        <w:rPr/>
      </w:pPr>
      <w:r>
        <w:rPr/>
        <w:drawing>
          <wp:inline distT="0" distB="0" distL="0" distR="0">
            <wp:extent cx="8572500" cy="5172075"/>
            <wp:effectExtent l="0" t="0" r="0" b="0"/>
            <wp:docPr id="6"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a:picLocks noChangeAspect="1" noChangeArrowheads="1"/>
                    </pic:cNvPicPr>
                  </pic:nvPicPr>
                  <pic:blipFill>
                    <a:blip r:embed="rId30"/>
                    <a:stretch>
                      <a:fillRect/>
                    </a:stretch>
                  </pic:blipFill>
                  <pic:spPr bwMode="auto">
                    <a:xfrm>
                      <a:off x="0" y="0"/>
                      <a:ext cx="8572500" cy="5172075"/>
                    </a:xfrm>
                    <a:prstGeom prst="rect">
                      <a:avLst/>
                    </a:prstGeom>
                    <a:noFill/>
                  </pic:spPr>
                </pic:pic>
              </a:graphicData>
            </a:graphic>
          </wp:inline>
        </w:drawing>
      </w:r>
    </w:p>
    <w:p>
      <w:pPr>
        <w:pStyle w:val="Normal"/>
        <w:spacing w:before="80" w:after="0"/>
        <w:jc w:val="center"/>
        <w:rPr/>
        <w:sectPr>
          <w:footerReference w:type="even" r:id="rId31"/>
          <w:footerReference w:type="default" r:id="rId32"/>
          <w:footerReference w:type="first" r:id="rId33"/>
          <w:type w:val="nextPage"/>
          <w:pgSz w:orient="landscape" w:w="16838" w:h="11906"/>
          <w:pgMar w:left="1080" w:right="1080" w:gutter="0" w:header="0" w:top="1080" w:footer="708" w:bottom="1000"/>
          <w:pgNumType w:fmt="decimal"/>
          <w:formProt w:val="false"/>
          <w:textDirection w:val="lrTb"/>
          <w:docGrid w:type="default" w:linePitch="360" w:charSpace="0"/>
        </w:sectPr>
      </w:pPr>
      <w:r>
        <w:rPr>
          <w:i/>
          <w:iCs/>
          <w:color w:val="5B6B84"/>
          <w:sz w:val="19"/>
          <w:szCs w:val="19"/>
        </w:rPr>
        <w:t>Figura 6 — Modelo relacional: em preto, o schema como publicado (com a coluna Ativo de Funcionario já implementada); as anotações marcam os ajustes que permanecem como recomendação.</w:t>
      </w:r>
    </w:p>
    <w:p>
      <w:pPr>
        <w:pStyle w:val="Heading2"/>
        <w:spacing w:before="300" w:after="150"/>
        <w:rPr/>
      </w:pPr>
      <w:r>
        <w:rPr>
          <w:b/>
          <w:bCs/>
          <w:color w:val="1F3864"/>
          <w:sz w:val="26"/>
          <w:szCs w:val="26"/>
        </w:rPr>
        <w:t>7.5 Explicação dos relacionamentos</w:t>
      </w:r>
    </w:p>
    <w:tbl>
      <w:tblPr>
        <w:tblW w:w="9326" w:type="dxa"/>
        <w:jc w:val="start"/>
        <w:tblInd w:w="0" w:type="dxa"/>
        <w:tblLayout w:type="fixed"/>
        <w:tblCellMar>
          <w:top w:w="80" w:type="dxa"/>
          <w:start w:w="100" w:type="dxa"/>
          <w:bottom w:w="80" w:type="dxa"/>
          <w:end w:w="100" w:type="dxa"/>
        </w:tblCellMar>
      </w:tblPr>
      <w:tblGrid>
        <w:gridCol w:w="3800"/>
        <w:gridCol w:w="1800"/>
        <w:gridCol w:w="3726"/>
      </w:tblGrid>
      <w:tr>
        <w:trPr>
          <w:tblHeader w:val="true"/>
        </w:trPr>
        <w:tc>
          <w:tcPr>
            <w:tcW w:w="38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Relacionamento</w:t>
            </w:r>
          </w:p>
        </w:tc>
        <w:tc>
          <w:tcPr>
            <w:tcW w:w="18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Cardinalidade</w:t>
            </w:r>
          </w:p>
        </w:tc>
        <w:tc>
          <w:tcPr>
            <w:tcW w:w="3726"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Situação</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Unidade → Funcionário / OrdemServico / EstoquePeca</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1:N</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Proposto — depende da entidade Unidade</w:t>
            </w:r>
          </w:p>
        </w:tc>
      </w:tr>
      <w:tr>
        <w:trPr/>
        <w:tc>
          <w:tcPr>
            <w:tcW w:w="3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Funcionário → Segurança</w:t>
            </w:r>
          </w:p>
        </w:tc>
        <w:tc>
          <w:tcPr>
            <w:tcW w:w="1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1:1</w:t>
            </w:r>
          </w:p>
        </w:tc>
        <w:tc>
          <w:tcPr>
            <w:tcW w:w="3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Já implementado — credenciais de login</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Cliente → Veículo / OrdemServico</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1:N</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Já implementado</w:t>
            </w:r>
          </w:p>
        </w:tc>
      </w:tr>
      <w:tr>
        <w:trPr/>
        <w:tc>
          <w:tcPr>
            <w:tcW w:w="3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Veículo → OrdemServico</w:t>
            </w:r>
          </w:p>
        </w:tc>
        <w:tc>
          <w:tcPr>
            <w:tcW w:w="1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1:N</w:t>
            </w:r>
          </w:p>
        </w:tc>
        <w:tc>
          <w:tcPr>
            <w:tcW w:w="3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Já implementado</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Funcionário → OrdemServico / Itens / Status</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1:N</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Já implementado</w:t>
            </w:r>
          </w:p>
        </w:tc>
      </w:tr>
      <w:tr>
        <w:trPr/>
        <w:tc>
          <w:tcPr>
            <w:tcW w:w="3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OrdemServico → Itens / Status / Orçamento</w:t>
            </w:r>
          </w:p>
        </w:tc>
        <w:tc>
          <w:tcPr>
            <w:tcW w:w="1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1:N / 1:N / 1:1</w:t>
            </w:r>
          </w:p>
        </w:tc>
        <w:tc>
          <w:tcPr>
            <w:tcW w:w="3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Já implementado</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Peça → Itens / EstoquePeca</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1:N</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EstoquePeca proposto (hoje é coluna em Pecas)</w:t>
            </w:r>
          </w:p>
        </w:tc>
      </w:tr>
    </w:tbl>
    <w:p>
      <w:pPr>
        <w:pStyle w:val="Normal"/>
        <w:spacing w:before="0" w:after="160"/>
        <w:rPr/>
      </w:pPr>
      <w:r>
        <w:rPr/>
      </w:r>
    </w:p>
    <w:p>
      <w:pPr>
        <w:pStyle w:val="Heading2"/>
        <w:spacing w:before="300" w:after="150"/>
        <w:rPr/>
      </w:pPr>
      <w:r>
        <w:rPr>
          <w:b/>
          <w:bCs/>
          <w:color w:val="1F3864"/>
          <w:sz w:val="26"/>
          <w:szCs w:val="26"/>
        </w:rPr>
        <w:t>7.6 Migração</w:t>
      </w:r>
    </w:p>
    <w:p>
      <w:pPr>
        <w:pStyle w:val="Normal"/>
        <w:spacing w:lineRule="auto" w:line="276" w:before="0" w:after="160"/>
        <w:jc w:val="both"/>
        <w:rPr/>
      </w:pPr>
      <w:r>
        <w:rPr>
          <w:b w:val="false"/>
          <w:bCs w:val="false"/>
          <w:i w:val="false"/>
          <w:iCs w:val="false"/>
          <w:color w:val="1A2433"/>
          <w:sz w:val="21"/>
          <w:szCs w:val="21"/>
        </w:rPr>
        <w:t>Os ajustes propostos seguem o mesmo padrão de script idempotente já usado no schema atual (verificações IF NOT EXISTS antes de cada CREATE/ALTER), para que a migração possa ser reaplicada com segurança sobre um ambiente já provisionado, sem exigir uma janela de manutenção coordenada entre os quatro repositórios.</w:t>
      </w:r>
    </w:p>
    <w:p>
      <w:pPr>
        <w:pStyle w:val="Normal"/>
        <w:spacing w:before="0" w:after="300"/>
        <w:rPr/>
      </w:pPr>
      <w:r>
        <w:rPr/>
      </w:r>
    </w:p>
    <w:p>
      <w:pPr>
        <w:pStyle w:val="Heading1"/>
        <w:pBdr>
          <w:bottom w:val="single" w:sz="6" w:space="4" w:color="1F3864"/>
        </w:pBdr>
        <w:spacing w:before="400" w:after="200"/>
        <w:rPr/>
      </w:pPr>
      <w:r>
        <w:rPr>
          <w:b/>
          <w:bCs/>
          <w:color w:val="1F3864"/>
          <w:sz w:val="32"/>
          <w:szCs w:val="32"/>
        </w:rPr>
        <w:t>8. APIs da Fase 3</w:t>
      </w:r>
    </w:p>
    <w:p>
      <w:pPr>
        <w:pStyle w:val="Normal"/>
        <w:spacing w:lineRule="auto" w:line="276" w:before="0" w:after="160"/>
        <w:jc w:val="both"/>
        <w:rPr/>
      </w:pPr>
      <w:r>
        <w:rPr>
          <w:b w:val="false"/>
          <w:bCs w:val="false"/>
          <w:i w:val="false"/>
          <w:iCs w:val="false"/>
          <w:color w:val="1A2433"/>
          <w:sz w:val="21"/>
          <w:szCs w:val="21"/>
        </w:rPr>
        <w:t>Além das APIs de gestão herdadas das fases anteriores (clientes, veículos, funcionários, peças, itens de OS e orçamentos), esta fase introduziu ou alterou os seguintes contratos:</w:t>
      </w:r>
    </w:p>
    <w:tbl>
      <w:tblPr>
        <w:tblW w:w="8926" w:type="dxa"/>
        <w:jc w:val="start"/>
        <w:tblInd w:w="0" w:type="dxa"/>
        <w:tblLayout w:type="fixed"/>
        <w:tblCellMar>
          <w:top w:w="80" w:type="dxa"/>
          <w:start w:w="100" w:type="dxa"/>
          <w:bottom w:w="80" w:type="dxa"/>
          <w:end w:w="100" w:type="dxa"/>
        </w:tblCellMar>
      </w:tblPr>
      <w:tblGrid>
        <w:gridCol w:w="2800"/>
        <w:gridCol w:w="3200"/>
        <w:gridCol w:w="2926"/>
      </w:tblGrid>
      <w:tr>
        <w:trPr>
          <w:tblHeader w:val="true"/>
        </w:trPr>
        <w:tc>
          <w:tcPr>
            <w:tcW w:w="28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Requisito</w:t>
            </w:r>
          </w:p>
        </w:tc>
        <w:tc>
          <w:tcPr>
            <w:tcW w:w="3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Endpoint</w:t>
            </w:r>
          </w:p>
        </w:tc>
        <w:tc>
          <w:tcPr>
            <w:tcW w:w="2926"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Observações</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Autenticação de cliente por CPF (função serverless)</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 /auth (via APIM) → postech-auth-function</w:t>
            </w:r>
          </w:p>
        </w:tc>
        <w:tc>
          <w:tcPr>
            <w:tcW w:w="29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Sem senha; distingue 400 (CPF inválido), 404 (não cadastrado) e 403 (inativo) antes de emitir o token</w:t>
            </w:r>
          </w:p>
        </w:tc>
      </w:tr>
      <w:tr>
        <w:trPr/>
        <w:tc>
          <w:tcPr>
            <w:tcW w:w="2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Login de funcionário (herdado, agora atrás do gateway)</w:t>
            </w:r>
          </w:p>
        </w:tc>
        <w:tc>
          <w:tcPr>
            <w:tcW w:w="3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POST /api/v1/autenticacao/login</w:t>
            </w:r>
          </w:p>
        </w:tc>
        <w:tc>
          <w:tcPr>
            <w:tcW w:w="29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CPF + senha, BCrypt Enhanced (SHA-384), rate limiting por CPF</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Abertura de Ordem de Serviço</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 /api/v1/ordens-servico</w:t>
            </w:r>
          </w:p>
        </w:tc>
        <w:tc>
          <w:tcPr>
            <w:tcW w:w="29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Passou a exigir a policy Equipe — um token de cliente recebe 403</w:t>
            </w:r>
          </w:p>
        </w:tc>
      </w:tr>
      <w:tr>
        <w:trPr/>
        <w:tc>
          <w:tcPr>
            <w:tcW w:w="2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Consulta de status da OS pelo cliente</w:t>
            </w:r>
          </w:p>
        </w:tc>
        <w:tc>
          <w:tcPr>
            <w:tcW w:w="3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GET /api/v1/ordens-servico/{id}/status</w:t>
            </w:r>
          </w:p>
        </w:tc>
        <w:tc>
          <w:tcPr>
            <w:tcW w:w="29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Deixou de ser público (Fase 2); agora exige token e checagem de posse (ClienteAcessandoOutro)</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Resposta a orçamento pelo cliente</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 /api/v1/orcamentos/os/{idOS}/responder</w:t>
            </w:r>
          </w:p>
        </w:tc>
        <w:tc>
          <w:tcPr>
            <w:tcW w:w="29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Deixou de ser público; exige token válido, para que só o dono do orçamento possa responder por ele</w:t>
            </w:r>
          </w:p>
        </w:tc>
      </w:tr>
      <w:tr>
        <w:trPr/>
        <w:tc>
          <w:tcPr>
            <w:tcW w:w="2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Listagem ordenada por status</w:t>
            </w:r>
          </w:p>
        </w:tc>
        <w:tc>
          <w:tcPr>
            <w:tcW w:w="3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GET /api/v1/ordens-servico/ordenado-por-status</w:t>
            </w:r>
          </w:p>
        </w:tc>
        <w:tc>
          <w:tcPr>
            <w:tcW w:w="29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Inalterada — prioridade Em Execução &gt; Aguardando Aprovação &gt; Diagnóstico &gt; Recebida, mais antigas primeiro</w:t>
            </w:r>
          </w:p>
        </w:tc>
      </w:tr>
    </w:tbl>
    <w:p>
      <w:pPr>
        <w:pStyle w:val="Normal"/>
        <w:spacing w:before="0" w:after="160"/>
        <w:rPr/>
      </w:pPr>
      <w:r>
        <w:rPr/>
      </w:r>
    </w:p>
    <w:p>
      <w:pPr>
        <w:pStyle w:val="Normal"/>
        <w:spacing w:lineRule="auto" w:line="276" w:before="0" w:after="160"/>
        <w:jc w:val="both"/>
        <w:rPr/>
      </w:pPr>
      <w:r>
        <w:rPr>
          <w:b w:val="false"/>
          <w:bCs w:val="false"/>
          <w:i w:val="false"/>
          <w:iCs w:val="false"/>
          <w:color w:val="1A2433"/>
          <w:sz w:val="21"/>
          <w:szCs w:val="21"/>
        </w:rPr>
        <w:t>O fechamento de rotas antes públicas ou aceitando qualquer token autenticado — status da OS, resposta de orçamento, consulta de valor de OS, entre outras — foi o principal endurecimento de segurança desta fase, registrado em detalhe na RFC-0003. A regra aplicada em todo o sistema é uniforme: rota de operação exige a policy Equipe; rota que o próprio cliente legitimamente usa ganha checagem de posse.</w:t>
      </w:r>
    </w:p>
    <w:p>
      <w:pPr>
        <w:pStyle w:val="Normal"/>
        <w:spacing w:before="0" w:after="160"/>
        <w:rPr/>
      </w:pPr>
      <w:r>
        <w:rPr/>
      </w:r>
    </w:p>
    <w:p>
      <w:pPr>
        <w:pStyle w:val="Normal"/>
        <w:spacing w:lineRule="auto" w:line="276" w:before="0" w:after="160"/>
        <w:jc w:val="both"/>
        <w:rPr/>
      </w:pPr>
      <w:r>
        <w:rPr>
          <w:b w:val="false"/>
          <w:bCs w:val="false"/>
          <w:i w:val="false"/>
          <w:iCs w:val="false"/>
          <w:color w:val="1A2433"/>
          <w:sz w:val="21"/>
          <w:szCs w:val="21"/>
        </w:rPr>
        <w:t>Ciclo de vida da OS, inalterado desde a Fase 2: Recebida → Em Diagnóstico → Aguardando Aprovação → Em Execução → Finalizada → Entregue, com transições estritamente sequenciais validadas no domínio (OrdemServicoDomainService).</w:t>
      </w:r>
    </w:p>
    <w:p>
      <w:pPr>
        <w:pStyle w:val="Normal"/>
        <w:spacing w:before="0" w:after="300"/>
        <w:rPr/>
      </w:pPr>
      <w:r>
        <w:rPr/>
      </w:r>
    </w:p>
    <w:p>
      <w:pPr>
        <w:pStyle w:val="Heading1"/>
        <w:pBdr>
          <w:bottom w:val="single" w:sz="6" w:space="4" w:color="1F3864"/>
        </w:pBdr>
        <w:spacing w:before="400" w:after="200"/>
        <w:rPr/>
      </w:pPr>
      <w:r>
        <w:rPr>
          <w:b/>
          <w:bCs/>
          <w:color w:val="1F3864"/>
          <w:sz w:val="32"/>
          <w:szCs w:val="32"/>
        </w:rPr>
        <w:t>9. Como Executar</w:t>
      </w:r>
    </w:p>
    <w:p>
      <w:pPr>
        <w:pStyle w:val="Normal"/>
        <w:spacing w:lineRule="auto" w:line="276" w:before="0" w:after="160"/>
        <w:jc w:val="both"/>
        <w:rPr/>
      </w:pPr>
      <w:r>
        <w:rPr>
          <w:b w:val="false"/>
          <w:bCs w:val="false"/>
          <w:i w:val="false"/>
          <w:iCs w:val="false"/>
          <w:color w:val="1A2433"/>
          <w:sz w:val="21"/>
          <w:szCs w:val="21"/>
        </w:rPr>
        <w:t>As instruções completas e detalhadas estão no README.md de cada repositório. Resumo dos caminhos disponíveis:</w:t>
      </w:r>
    </w:p>
    <w:p>
      <w:pPr>
        <w:pStyle w:val="Heading2"/>
        <w:spacing w:before="300" w:after="150"/>
        <w:rPr/>
      </w:pPr>
      <w:r>
        <w:rPr>
          <w:b/>
          <w:bCs/>
          <w:color w:val="1F3864"/>
          <w:sz w:val="26"/>
          <w:szCs w:val="26"/>
        </w:rPr>
        <w:t>9.1 Execução local (Docker Compose)</w:t>
      </w:r>
    </w:p>
    <w:p>
      <w:pPr>
        <w:pStyle w:val="ListParagraph"/>
        <w:numPr>
          <w:ilvl w:val="0"/>
          <w:numId w:val="2"/>
        </w:numPr>
        <w:spacing w:lineRule="auto" w:line="271" w:before="0" w:after="90"/>
        <w:rPr/>
      </w:pPr>
      <w:r>
        <w:rPr>
          <w:color w:val="1A2433"/>
          <w:sz w:val="21"/>
          <w:szCs w:val="21"/>
        </w:rPr>
        <w:t>docker compose up -d --build no repositório postech-app — sobe API + SQL Server com schema e seed; Swagger em http://localhost:8080/swagger. Este caminho não depende de nenhum dos outros três repositórios.</w:t>
      </w:r>
    </w:p>
    <w:p>
      <w:pPr>
        <w:pStyle w:val="Heading2"/>
        <w:spacing w:before="300" w:after="150"/>
        <w:rPr/>
      </w:pPr>
      <w:r>
        <w:rPr>
          <w:b/>
          <w:bCs/>
          <w:color w:val="1F3864"/>
          <w:sz w:val="26"/>
          <w:szCs w:val="26"/>
        </w:rPr>
        <w:t>9.2 Deploy em Kubernetes local (kind)</w:t>
      </w:r>
    </w:p>
    <w:p>
      <w:pPr>
        <w:pStyle w:val="ListParagraph"/>
        <w:numPr>
          <w:ilvl w:val="0"/>
          <w:numId w:val="2"/>
        </w:numPr>
        <w:spacing w:lineRule="auto" w:line="271" w:before="0" w:after="90"/>
        <w:rPr/>
      </w:pPr>
      <w:r>
        <w:rPr>
          <w:color w:val="1A2433"/>
          <w:sz w:val="21"/>
          <w:szCs w:val="21"/>
        </w:rPr>
        <w:t>Script automatizado local-k8s-up.bat (Windows/Docker Desktop), ou passo a passo manual com kind + kubectl apply -k k8s/overlays/local — reaproveita o modelo da Fase 2, com SQL Server como StatefulSet dentro do próprio cluster.</w:t>
      </w:r>
    </w:p>
    <w:p>
      <w:pPr>
        <w:pStyle w:val="Heading2"/>
        <w:spacing w:before="300" w:after="150"/>
        <w:rPr/>
      </w:pPr>
      <w:r>
        <w:rPr>
          <w:b/>
          <w:bCs/>
          <w:color w:val="1F3864"/>
          <w:sz w:val="26"/>
          <w:szCs w:val="26"/>
        </w:rPr>
        <w:t>9.3 Provisionamento local com Terraform</w:t>
      </w:r>
    </w:p>
    <w:p>
      <w:pPr>
        <w:pStyle w:val="ListParagraph"/>
        <w:numPr>
          <w:ilvl w:val="0"/>
          <w:numId w:val="2"/>
        </w:numPr>
        <w:spacing w:lineRule="auto" w:line="271" w:before="0" w:after="90"/>
        <w:rPr/>
      </w:pPr>
      <w:r>
        <w:rPr>
          <w:color w:val="1A2433"/>
          <w:sz w:val="21"/>
          <w:szCs w:val="21"/>
        </w:rPr>
        <w:t>cd infra/terraform &amp;&amp; terraform init &amp;&amp; terraform apply, no repositório postech-app — cria o cluster kind, os Secrets, aplica os manifestos e inicializa o banco. Variáveis sensíveis via terraform.tfvars (não versionado) ou TF_VAR_*.</w:t>
      </w:r>
    </w:p>
    <w:p>
      <w:pPr>
        <w:pStyle w:val="Heading2"/>
        <w:spacing w:before="300" w:after="150"/>
        <w:rPr/>
      </w:pPr>
      <w:r>
        <w:rPr>
          <w:b/>
          <w:bCs/>
          <w:color w:val="1F3864"/>
          <w:sz w:val="26"/>
          <w:szCs w:val="26"/>
        </w:rPr>
        <w:t>9.4 Ambiente publicado (Azure)</w:t>
      </w:r>
    </w:p>
    <w:p>
      <w:pPr>
        <w:pStyle w:val="ListParagraph"/>
        <w:numPr>
          <w:ilvl w:val="0"/>
          <w:numId w:val="2"/>
        </w:numPr>
        <w:spacing w:lineRule="auto" w:line="271" w:before="0" w:after="90"/>
        <w:rPr/>
      </w:pPr>
      <w:r>
        <w:rPr>
          <w:color w:val="1A2433"/>
          <w:sz w:val="21"/>
          <w:szCs w:val="21"/>
        </w:rPr>
        <w:t>O ambiente de produção já está de pé, provisionado pelos repositórios postech-infra-db e postech-infra-k8s e mantido pelos pipelines de CI/CD dos quatro repositórios — não há passo manual de deploy. Uma alteração em qualquer um dos quatro é publicada automaticamente ao chegar em main, incluindo o smoke test contra o APIM real descrito na Seção 4.5.</w:t>
      </w:r>
    </w:p>
    <w:p>
      <w:pPr>
        <w:pStyle w:val="Normal"/>
        <w:spacing w:before="0" w:after="300"/>
        <w:rPr/>
      </w:pPr>
      <w:r>
        <w:rPr/>
      </w:r>
    </w:p>
    <w:p>
      <w:pPr>
        <w:pStyle w:val="Heading1"/>
        <w:pBdr>
          <w:bottom w:val="single" w:sz="6" w:space="4" w:color="1F3864"/>
        </w:pBdr>
        <w:spacing w:before="400" w:after="200"/>
        <w:rPr/>
      </w:pPr>
      <w:r>
        <w:rPr>
          <w:b/>
          <w:bCs/>
          <w:color w:val="1F3864"/>
          <w:sz w:val="32"/>
          <w:szCs w:val="32"/>
        </w:rPr>
        <w:t>10. Vídeo Demonstrativo</w:t>
      </w:r>
    </w:p>
    <w:p>
      <w:pPr>
        <w:pStyle w:val="Normal"/>
        <w:spacing w:lineRule="auto" w:line="276" w:before="0" w:after="160"/>
        <w:jc w:val="both"/>
        <w:rPr/>
      </w:pPr>
      <w:r>
        <w:rPr>
          <w:b w:val="false"/>
          <w:bCs w:val="false"/>
          <w:i w:val="false"/>
          <w:iCs w:val="false"/>
          <w:color w:val="1A2433"/>
          <w:sz w:val="21"/>
          <w:szCs w:val="21"/>
        </w:rPr>
        <w:t xml:space="preserve">Link: </w:t>
      </w:r>
      <w:r>
        <w:rPr>
          <w:b w:val="false"/>
          <w:bCs w:val="false"/>
          <w:i w:val="false"/>
          <w:iCs w:val="false"/>
          <w:color w:val="1A2433"/>
          <w:sz w:val="21"/>
          <w:szCs w:val="21"/>
          <w:shd w:fill="FFFF00" w:val="clear"/>
        </w:rPr>
        <w:t>[INSERIR LINK DO VÍDEO — YouTube/Vimeo, Fase 3]</w:t>
      </w:r>
    </w:p>
    <w:sectPr>
      <w:footerReference w:type="even" r:id="rId34"/>
      <w:footerReference w:type="default" r:id="rId35"/>
      <w:footerReference w:type="first" r:id="rId36"/>
      <w:type w:val="nextPage"/>
      <w:pgSz w:w="11906" w:h="16838"/>
      <w:pgMar w:left="1440" w:right="1440" w:gutter="0" w:header="0" w:top="144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5</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5</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6</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6</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7</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7</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8</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8</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20</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20</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22</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22</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23</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23</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b w:val="false"/>
        <w:bCs w:val="false"/>
        <w:i w:val="false"/>
        <w:iCs w:val="false"/>
        <w:color w:val="1A2433"/>
        <w:sz w:val="21"/>
        <w:szCs w:val="21"/>
      </w:rPr>
      <w:fldChar w:fldCharType="begin"/>
    </w:r>
    <w:r>
      <w:rPr>
        <w:b w:val="false"/>
        <w:bCs w:val="false"/>
        <w:i w:val="false"/>
        <w:iCs w:val="false"/>
        <w:color w:val="1A2433"/>
        <w:sz w:val="21"/>
        <w:szCs w:val="21"/>
      </w:rPr>
      <w:instrText xml:space="preserve"> PAGE </w:instrText>
    </w:r>
    <w:r>
      <w:rPr>
        <w:b w:val="false"/>
        <w:bCs w:val="false"/>
        <w:i w:val="false"/>
        <w:iCs w:val="false"/>
        <w:color w:val="1A2433"/>
        <w:sz w:val="21"/>
        <w:szCs w:val="21"/>
      </w:rPr>
      <w:fldChar w:fldCharType="separate"/>
    </w:r>
    <w:r>
      <w:rPr>
        <w:b w:val="false"/>
        <w:bCs w:val="false"/>
        <w:i w:val="false"/>
        <w:iCs w:val="false"/>
        <w:color w:val="1A2433"/>
        <w:sz w:val="21"/>
        <w:szCs w:val="21"/>
      </w:rPr>
      <w:t>26</w:t>
    </w:r>
    <w:r>
      <w:rPr>
        <w:b w:val="false"/>
        <w:bCs w:val="false"/>
        <w:i w:val="false"/>
        <w:iCs w:val="false"/>
        <w:color w:val="1A2433"/>
        <w:sz w:val="21"/>
        <w:szCs w:val="21"/>
      </w:rPr>
      <w:fldChar w:fldCharType="end"/>
    </w:r>
    <w:r>
      <w:rPr>
        <w:color w:val="5B6B84"/>
        <w:sz w:val="16"/>
        <w:szCs w:val="16"/>
      </w:rPr>
      <w:t xml:space="preserve"> de </w:t>
    </w:r>
    <w:r>
      <w:rPr>
        <w:b w:val="false"/>
        <w:bCs w:val="false"/>
        <w:i w:val="false"/>
        <w:iCs w:val="false"/>
        <w:color w:val="1A2433"/>
        <w:sz w:val="21"/>
        <w:szCs w:val="21"/>
      </w:rPr>
      <w:fldChar w:fldCharType="begin"/>
    </w:r>
    <w:r>
      <w:rPr>
        <w:b w:val="false"/>
        <w:bCs w:val="false"/>
        <w:i w:val="false"/>
        <w:iCs w:val="false"/>
        <w:color w:val="1A2433"/>
        <w:sz w:val="21"/>
        <w:szCs w:val="21"/>
      </w:rPr>
      <w:instrText xml:space="preserve"> NUMPAGES </w:instrText>
    </w:r>
    <w:r>
      <w:rPr>
        <w:b w:val="false"/>
        <w:bCs w:val="false"/>
        <w:i w:val="false"/>
        <w:iCs w:val="false"/>
        <w:color w:val="1A2433"/>
        <w:sz w:val="21"/>
        <w:szCs w:val="21"/>
      </w:rPr>
      <w:fldChar w:fldCharType="separate"/>
    </w:r>
    <w:r>
      <w:rPr>
        <w:b w:val="false"/>
        <w:bCs w:val="false"/>
        <w:i w:val="false"/>
        <w:iCs w:val="false"/>
        <w:color w:val="1A2433"/>
        <w:sz w:val="21"/>
        <w:szCs w:val="21"/>
      </w:rPr>
      <w:t>26</w:t>
    </w:r>
    <w:r>
      <w:rPr>
        <w:b w:val="false"/>
        <w:bCs w:val="false"/>
        <w:i w:val="false"/>
        <w:iCs w:val="false"/>
        <w:color w:val="1A2433"/>
        <w:sz w:val="21"/>
        <w:szCs w:val="21"/>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b w:val="false"/>
        <w:bCs w:val="false"/>
        <w:i w:val="false"/>
        <w:iCs w:val="false"/>
        <w:color w:val="1A2433"/>
        <w:sz w:val="21"/>
        <w:szCs w:val="21"/>
      </w:rPr>
      <w:fldChar w:fldCharType="begin"/>
    </w:r>
    <w:r>
      <w:rPr>
        <w:b w:val="false"/>
        <w:bCs w:val="false"/>
        <w:i w:val="false"/>
        <w:iCs w:val="false"/>
        <w:color w:val="1A2433"/>
        <w:sz w:val="21"/>
        <w:szCs w:val="21"/>
      </w:rPr>
      <w:instrText xml:space="preserve"> PAGE </w:instrText>
    </w:r>
    <w:r>
      <w:rPr>
        <w:b w:val="false"/>
        <w:bCs w:val="false"/>
        <w:i w:val="false"/>
        <w:iCs w:val="false"/>
        <w:color w:val="1A2433"/>
        <w:sz w:val="21"/>
        <w:szCs w:val="21"/>
      </w:rPr>
      <w:fldChar w:fldCharType="separate"/>
    </w:r>
    <w:r>
      <w:rPr>
        <w:b w:val="false"/>
        <w:bCs w:val="false"/>
        <w:i w:val="false"/>
        <w:iCs w:val="false"/>
        <w:color w:val="1A2433"/>
        <w:sz w:val="21"/>
        <w:szCs w:val="21"/>
      </w:rPr>
      <w:t>26</w:t>
    </w:r>
    <w:r>
      <w:rPr>
        <w:b w:val="false"/>
        <w:bCs w:val="false"/>
        <w:i w:val="false"/>
        <w:iCs w:val="false"/>
        <w:color w:val="1A2433"/>
        <w:sz w:val="21"/>
        <w:szCs w:val="21"/>
      </w:rPr>
      <w:fldChar w:fldCharType="end"/>
    </w:r>
    <w:r>
      <w:rPr>
        <w:color w:val="5B6B84"/>
        <w:sz w:val="16"/>
        <w:szCs w:val="16"/>
      </w:rPr>
      <w:t xml:space="preserve"> de </w:t>
    </w:r>
    <w:r>
      <w:rPr>
        <w:b w:val="false"/>
        <w:bCs w:val="false"/>
        <w:i w:val="false"/>
        <w:iCs w:val="false"/>
        <w:color w:val="1A2433"/>
        <w:sz w:val="21"/>
        <w:szCs w:val="21"/>
      </w:rPr>
      <w:fldChar w:fldCharType="begin"/>
    </w:r>
    <w:r>
      <w:rPr>
        <w:b w:val="false"/>
        <w:bCs w:val="false"/>
        <w:i w:val="false"/>
        <w:iCs w:val="false"/>
        <w:color w:val="1A2433"/>
        <w:sz w:val="21"/>
        <w:szCs w:val="21"/>
      </w:rPr>
      <w:instrText xml:space="preserve"> NUMPAGES </w:instrText>
    </w:r>
    <w:r>
      <w:rPr>
        <w:b w:val="false"/>
        <w:bCs w:val="false"/>
        <w:i w:val="false"/>
        <w:iCs w:val="false"/>
        <w:color w:val="1A2433"/>
        <w:sz w:val="21"/>
        <w:szCs w:val="21"/>
      </w:rPr>
      <w:fldChar w:fldCharType="separate"/>
    </w:r>
    <w:r>
      <w:rPr>
        <w:b w:val="false"/>
        <w:bCs w:val="false"/>
        <w:i w:val="false"/>
        <w:iCs w:val="false"/>
        <w:color w:val="1A2433"/>
        <w:sz w:val="21"/>
        <w:szCs w:val="21"/>
      </w:rPr>
      <w:t>26</w:t>
    </w:r>
    <w:r>
      <w:rPr>
        <w:b w:val="false"/>
        <w:bCs w:val="false"/>
        <w:i w:val="false"/>
        <w:iCs w:val="false"/>
        <w:color w:val="1A2433"/>
        <w:sz w:val="21"/>
        <w:szCs w:val="2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0"/>
      <w:szCs w:val="20"/>
      <w:lang w:val="pt-BR" w:eastAsia="zh-CN" w:bidi="hi-IN"/>
    </w:rPr>
  </w:style>
  <w:style w:type="paragraph" w:styleId="Heading1">
    <w:name w:val="heading 1"/>
    <w:basedOn w:val="Ttulouser"/>
    <w:qFormat/>
    <w:pPr/>
    <w:rPr>
      <w:color w:val="2E74B5"/>
      <w:sz w:val="32"/>
      <w:szCs w:val="32"/>
    </w:rPr>
  </w:style>
  <w:style w:type="paragraph" w:styleId="Heading2">
    <w:name w:val="heading 2"/>
    <w:basedOn w:val="Ttulouser"/>
    <w:qFormat/>
    <w:pPr/>
    <w:rPr>
      <w:color w:val="2E74B5"/>
      <w:sz w:val="26"/>
      <w:szCs w:val="26"/>
    </w:rPr>
  </w:style>
  <w:style w:type="paragraph" w:styleId="Heading3">
    <w:name w:val="heading 3"/>
    <w:basedOn w:val="Ttulouser"/>
    <w:qFormat/>
    <w:pPr/>
    <w:rPr>
      <w:color w:val="1F4D78"/>
      <w:sz w:val="24"/>
      <w:szCs w:val="24"/>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derodapuser">
    <w:name w:val="Caracteres de nota de rodapé (user)"/>
    <w:uiPriority w:val="99"/>
    <w:semiHidden/>
    <w:unhideWhenUsed/>
    <w:qFormat/>
    <w:rPr>
      <w:vertAlign w:val="superscript"/>
    </w:rPr>
  </w:style>
  <w:style w:type="character" w:styleId="Caracteresdenotaderodap">
    <w:name w:val="Caracteres de nota de rodapé"/>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user">
    <w:name w:val="Caracteres de nota de fim (user)"/>
    <w:uiPriority w:val="99"/>
    <w:semiHidden/>
    <w:unhideWhenUsed/>
    <w:qFormat/>
    <w:rPr>
      <w:vertAlign w:val="superscrip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0"/>
      <w:szCs w:val="20"/>
      <w:lang w:val="pt-BR"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Footer">
    <w:name w:val="footer"/>
    <w:basedOn w:val="Cabealhoerodapus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Gustavollier/postech-app" TargetMode="External"/><Relationship Id="rId3" Type="http://schemas.openxmlformats.org/officeDocument/2006/relationships/hyperlink" Target="https://github.com/Gustavollier/postech-auth-function" TargetMode="External"/><Relationship Id="rId4" Type="http://schemas.openxmlformats.org/officeDocument/2006/relationships/hyperlink" Target="https://github.com/Gustavollier/postech-infra-db" TargetMode="External"/><Relationship Id="rId5" Type="http://schemas.openxmlformats.org/officeDocument/2006/relationships/hyperlink" Target="https://github.com/Gustavollier/postech-infra-k8s" TargetMode="External"/><Relationship Id="rId6" Type="http://schemas.openxmlformats.org/officeDocument/2006/relationships/hyperlink" Target="http://52.186.34.146/swagger/index.html"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3.png"/><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image" Target="media/image4.png"/><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image" Target="media/image5.png"/><Relationship Id="rId24" Type="http://schemas.openxmlformats.org/officeDocument/2006/relationships/footer" Target="footer13.xml"/><Relationship Id="rId25" Type="http://schemas.openxmlformats.org/officeDocument/2006/relationships/footer" Target="footer14.xml"/><Relationship Id="rId26" Type="http://schemas.openxmlformats.org/officeDocument/2006/relationships/footer" Target="footer15.xml"/><Relationship Id="rId27" Type="http://schemas.openxmlformats.org/officeDocument/2006/relationships/footer" Target="footer16.xml"/><Relationship Id="rId28" Type="http://schemas.openxmlformats.org/officeDocument/2006/relationships/footer" Target="footer17.xml"/><Relationship Id="rId29" Type="http://schemas.openxmlformats.org/officeDocument/2006/relationships/footer" Target="footer18.xml"/><Relationship Id="rId30" Type="http://schemas.openxmlformats.org/officeDocument/2006/relationships/image" Target="media/image6.png"/><Relationship Id="rId31" Type="http://schemas.openxmlformats.org/officeDocument/2006/relationships/footer" Target="footer19.xml"/><Relationship Id="rId32" Type="http://schemas.openxmlformats.org/officeDocument/2006/relationships/footer" Target="footer20.xml"/><Relationship Id="rId33" Type="http://schemas.openxmlformats.org/officeDocument/2006/relationships/footer" Target="footer21.xml"/><Relationship Id="rId34" Type="http://schemas.openxmlformats.org/officeDocument/2006/relationships/footer" Target="footer22.xml"/><Relationship Id="rId35" Type="http://schemas.openxmlformats.org/officeDocument/2006/relationships/footer" Target="footer23.xml"/><Relationship Id="rId36" Type="http://schemas.openxmlformats.org/officeDocument/2006/relationships/footer" Target="footer24.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LibreOffice/26.2.6.3$Linux_X86_64 LibreOffice_project/620$Build-3</Application>
  <AppVersion>15.0000</AppVersion>
  <Pages>26</Pages>
  <Words>4616</Words>
  <Characters>25483</Characters>
  <CharactersWithSpaces>29926</CharactersWithSpaces>
  <Paragraphs>345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2026-09-14T23:53:51Z</dcterms:created>
  <dc:creator>Rafael, Guinter Zaffalon, Gustavo Gouveia Olier Silva</dc:creator>
  <dc:description>Documento de entrega do Tech Challenge FIAP PosTech SOAT — Fase 3</dc:description>
  <dc:language>pt-BR</dc:language>
  <cp:lastModifiedBy/>
  <dcterms:modified xsi:type="dcterms:W3CDTF">2026-09-14T21:47:57Z</dcterms:modified>
  <cp:revision>5</cp:revision>
  <dc:subject/>
  <dc:title>PosTechChallenge — Documento de Entrega (Fase 3)</dc:title>
</cp:coreProperties>
</file>

<file path=docProps/custom.xml><?xml version="1.0" encoding="utf-8"?>
<Properties xmlns="http://schemas.openxmlformats.org/officeDocument/2006/custom-properties" xmlns:vt="http://schemas.openxmlformats.org/officeDocument/2006/docPropsVTypes"/>
</file>