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integração de acesso de usuário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  <w:t xml:space="preserve">realizar a entrada na plataforma por via do botão de entrar no canto direto</w:t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  <w:t xml:space="preserve">aqui você será redirecionado a tela de login, podendo também realizar o cadastro no sistema, caso já seja cadastrado, somente informar o email e senha.</w:t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  <w:t xml:space="preserve">caso não seja registrado selecionar a opção de “não tem conta” e você será redirecionado para a tela de cadastro. </w:t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rtl w:val="0"/>
        </w:rPr>
        <w:t xml:space="preserve">aqui preencher os campos requisitados de email, nome, senha e confirmar senha.</w:t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  <w:t xml:space="preserve">assim que processados os dados, você será redirecionado para a página inicial do sistema</w:t>
      </w:r>
    </w:p>
    <w:p w:rsidR="00000000" w:rsidDel="00000000" w:rsidP="00000000" w:rsidRDefault="00000000" w:rsidRPr="00000000" w14:paraId="0000001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Integração de Produto</w:t>
      </w:r>
    </w:p>
    <w:p w:rsidR="00000000" w:rsidDel="00000000" w:rsidP="00000000" w:rsidRDefault="00000000" w:rsidRPr="00000000" w14:paraId="0000001B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rtl w:val="0"/>
        </w:rPr>
        <w:br w:type="textWrapping"/>
        <w:t xml:space="preserve">primeiramente já tendo acesso ao site, vamos ao painel de editor e designer e acessamos a opção de novo</w:t>
      </w: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  <w:t xml:space="preserve">Escolhemos a opção de produto.</w:t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rtl w:val="0"/>
        </w:rPr>
        <w:t xml:space="preserve">Após acessar o painel de cadastro de produto, preenchemos os dados do referente produto</w:t>
        <w:br w:type="textWrapping"/>
        <w:t xml:space="preserve">com </w:t>
        <w:br w:type="textWrapping"/>
        <w:t xml:space="preserve"> 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nome.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código de barras.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preço de venda ( impostos calculados após o preenchimento desse campo).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categoria do produto (lista de categorias de filtro).</w:t>
        <w:br w:type="textWrapping"/>
        <w:br w:type="textWrapping"/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Integração de Usuário</w:t>
      </w:r>
    </w:p>
    <w:p w:rsidR="00000000" w:rsidDel="00000000" w:rsidP="00000000" w:rsidRDefault="00000000" w:rsidRPr="00000000" w14:paraId="0000002E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>
          <w:rtl w:val="0"/>
        </w:rPr>
        <w:t xml:space="preserve">já com acesso de administrador acessamos o painel de configurações</w:t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  <w:t xml:space="preserve">acessar o configurações gerais</w:t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  <w:t xml:space="preserve">acessar o gerenciamento de usuarios</w:t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  <w:t xml:space="preserve">aqui você poderá verificar todos os usuários registrados no sistema </w:t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  <w:t xml:space="preserve">para adicionar um novo na opção acessar a opção de novo</w:t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tl w:val="0"/>
        </w:rPr>
        <w:t xml:space="preserve">preencher os dados do usuário que deseja cadastrar manualmente</w:t>
      </w:r>
    </w:p>
    <w:p w:rsidR="00000000" w:rsidDel="00000000" w:rsidP="00000000" w:rsidRDefault="00000000" w:rsidRPr="00000000" w14:paraId="0000004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>
          <w:rtl w:val="0"/>
        </w:rPr>
        <w:t xml:space="preserve">após preencher os dados conforme a necessidade e definir os acessos do usuário, </w:t>
        <w:br w:type="textWrapping"/>
        <w:br w:type="textWrapping"/>
        <w:t xml:space="preserve">os acessos referentes a </w:t>
        <w:br w:type="textWrapping"/>
        <w:t xml:space="preserve">Vendas, Site, Financeiro, Produtividade, Administração; </w:t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>
          <w:rtl w:val="0"/>
        </w:rPr>
        <w:t xml:space="preserve">nesses campos caso desejar não dar os acessos ao usuário, somente deixar o campo com a opção vazio. </w:t>
      </w:r>
    </w:p>
    <w:p w:rsidR="00000000" w:rsidDel="00000000" w:rsidP="00000000" w:rsidRDefault="00000000" w:rsidRPr="00000000" w14:paraId="00000047">
      <w:pPr>
        <w:jc w:val="both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  <w:t xml:space="preserve">após isso registrar o usuário, no ícone de nuvem com a descrição salvar manualmente</w:t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/>
      </w:pPr>
      <w:r w:rsidDel="00000000" w:rsidR="00000000" w:rsidRPr="00000000">
        <w:rPr>
          <w:rtl w:val="0"/>
        </w:rPr>
        <w:t xml:space="preserve">após registrar, o usuário receberá a notificação via email para acessar e definir a senha, mas caso for de opção definir a senha manualmente, </w:t>
      </w:r>
    </w:p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/>
      </w:pPr>
      <w:r w:rsidDel="00000000" w:rsidR="00000000" w:rsidRPr="00000000">
        <w:rPr>
          <w:rtl w:val="0"/>
        </w:rPr>
        <w:t xml:space="preserve">ir na opção de definição do usuário, 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alterar senha</w:t>
      </w:r>
    </w:p>
    <w:p w:rsidR="00000000" w:rsidDel="00000000" w:rsidP="00000000" w:rsidRDefault="00000000" w:rsidRPr="00000000" w14:paraId="00000050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/>
      </w:pPr>
      <w:r w:rsidDel="00000000" w:rsidR="00000000" w:rsidRPr="00000000">
        <w:rPr>
          <w:rtl w:val="0"/>
        </w:rPr>
        <w:t xml:space="preserve">e alterar manualmente a senha do usuário.</w:t>
      </w:r>
    </w:p>
    <w:p w:rsidR="00000000" w:rsidDel="00000000" w:rsidP="00000000" w:rsidRDefault="00000000" w:rsidRPr="00000000" w14:paraId="0000005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/>
      </w:pPr>
      <w:r w:rsidDel="00000000" w:rsidR="00000000" w:rsidRPr="00000000">
        <w:rPr>
          <w:rtl w:val="0"/>
        </w:rPr>
        <w:t xml:space="preserve">salvar a senha. </w:t>
      </w:r>
    </w:p>
    <w:p w:rsidR="00000000" w:rsidDel="00000000" w:rsidP="00000000" w:rsidRDefault="00000000" w:rsidRPr="00000000" w14:paraId="0000005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/>
      </w:pPr>
      <w:r w:rsidDel="00000000" w:rsidR="00000000" w:rsidRPr="00000000">
        <w:rPr>
          <w:rtl w:val="0"/>
        </w:rPr>
        <w:t xml:space="preserve">e voltar para visualizar todos os usuários registrados.</w:t>
      </w:r>
    </w:p>
    <w:p w:rsidR="00000000" w:rsidDel="00000000" w:rsidP="00000000" w:rsidRDefault="00000000" w:rsidRPr="00000000" w14:paraId="0000005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Integração de pedido.</w:t>
      </w:r>
    </w:p>
    <w:p w:rsidR="00000000" w:rsidDel="00000000" w:rsidP="00000000" w:rsidRDefault="00000000" w:rsidRPr="00000000" w14:paraId="0000005E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/>
      </w:pPr>
      <w:r w:rsidDel="00000000" w:rsidR="00000000" w:rsidRPr="00000000">
        <w:rPr>
          <w:rtl w:val="0"/>
        </w:rPr>
        <w:t xml:space="preserve">Após realizar o acesso ao sistema, ir na tela da loja </w:t>
      </w:r>
    </w:p>
    <w:p w:rsidR="00000000" w:rsidDel="00000000" w:rsidP="00000000" w:rsidRDefault="00000000" w:rsidRPr="00000000" w14:paraId="0000006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/>
      </w:pPr>
      <w:r w:rsidDel="00000000" w:rsidR="00000000" w:rsidRPr="00000000">
        <w:rPr>
          <w:rtl w:val="0"/>
        </w:rPr>
        <w:t xml:space="preserve">selecionar o produto que deseja incluir no carrinho.</w:t>
      </w:r>
    </w:p>
    <w:p w:rsidR="00000000" w:rsidDel="00000000" w:rsidP="00000000" w:rsidRDefault="00000000" w:rsidRPr="00000000" w14:paraId="0000006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/>
      </w:pPr>
      <w:r w:rsidDel="00000000" w:rsidR="00000000" w:rsidRPr="00000000">
        <w:rPr>
          <w:rtl w:val="0"/>
        </w:rPr>
        <w:t xml:space="preserve">ao inclui o produto ao carrinho de compras.</w:t>
      </w:r>
    </w:p>
    <w:p w:rsidR="00000000" w:rsidDel="00000000" w:rsidP="00000000" w:rsidRDefault="00000000" w:rsidRPr="00000000" w14:paraId="00000069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/>
      </w:pPr>
      <w:r w:rsidDel="00000000" w:rsidR="00000000" w:rsidRPr="00000000">
        <w:rPr>
          <w:rtl w:val="0"/>
        </w:rPr>
        <w:t xml:space="preserve">Após incluir o produto ao carrinho, será notificado da inclusão do produto ao carrinho e você poderá ir pelo redirecionamento direto da notificação ou pelo ícone do carrinho . </w:t>
      </w:r>
    </w:p>
    <w:p w:rsidR="00000000" w:rsidDel="00000000" w:rsidP="00000000" w:rsidRDefault="00000000" w:rsidRPr="00000000" w14:paraId="0000006C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/>
      </w:pPr>
      <w:r w:rsidDel="00000000" w:rsidR="00000000" w:rsidRPr="00000000">
        <w:rPr>
          <w:rtl w:val="0"/>
        </w:rPr>
        <w:t xml:space="preserve">na tela do carrinho você pode incrementar a quantidade do produto solicitado e dar prosseguimento no pedido de compra.</w:t>
      </w:r>
    </w:p>
    <w:p w:rsidR="00000000" w:rsidDel="00000000" w:rsidP="00000000" w:rsidRDefault="00000000" w:rsidRPr="00000000" w14:paraId="00000071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/>
      </w:pPr>
      <w:r w:rsidDel="00000000" w:rsidR="00000000" w:rsidRPr="00000000">
        <w:rPr>
          <w:rtl w:val="0"/>
        </w:rPr>
        <w:t xml:space="preserve">na tela de check-out é onde o cliente fará o cadastro de endereço e dados pessoais para finalizar a compra, mas devido a limitação da plataforma, não possuir um back-end e a integração com plataformas de pagamento o tutorial ficará somente até a inclusão do produto no carrinho, deixando assim a compra pendente.</w:t>
      </w:r>
    </w:p>
    <w:p w:rsidR="00000000" w:rsidDel="00000000" w:rsidP="00000000" w:rsidRDefault="00000000" w:rsidRPr="00000000" w14:paraId="0000007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/>
      </w:pPr>
      <w:r w:rsidDel="00000000" w:rsidR="00000000" w:rsidRPr="00000000">
        <w:rPr>
          <w:rtl w:val="0"/>
        </w:rPr>
        <w:t xml:space="preserve">Conclusão, os passos descritos anteriormente são ilustrativos e intuitivos para as principais funcionalidades do e-commerce, caso de dúvidas consultar a documentação em vídeo que ficará dentro de cada pasta de integração com as fotos utilizadas nesta documentação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23.png"/><Relationship Id="rId21" Type="http://schemas.openxmlformats.org/officeDocument/2006/relationships/image" Target="media/image17.png"/><Relationship Id="rId24" Type="http://schemas.openxmlformats.org/officeDocument/2006/relationships/image" Target="media/image4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10.png"/><Relationship Id="rId25" Type="http://schemas.openxmlformats.org/officeDocument/2006/relationships/image" Target="media/image21.png"/><Relationship Id="rId28" Type="http://schemas.openxmlformats.org/officeDocument/2006/relationships/image" Target="media/image9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2.png"/><Relationship Id="rId8" Type="http://schemas.openxmlformats.org/officeDocument/2006/relationships/image" Target="media/image3.png"/><Relationship Id="rId11" Type="http://schemas.openxmlformats.org/officeDocument/2006/relationships/image" Target="media/image5.png"/><Relationship Id="rId10" Type="http://schemas.openxmlformats.org/officeDocument/2006/relationships/image" Target="media/image16.png"/><Relationship Id="rId13" Type="http://schemas.openxmlformats.org/officeDocument/2006/relationships/image" Target="media/image14.png"/><Relationship Id="rId12" Type="http://schemas.openxmlformats.org/officeDocument/2006/relationships/image" Target="media/image12.png"/><Relationship Id="rId15" Type="http://schemas.openxmlformats.org/officeDocument/2006/relationships/image" Target="media/image7.png"/><Relationship Id="rId14" Type="http://schemas.openxmlformats.org/officeDocument/2006/relationships/image" Target="media/image18.png"/><Relationship Id="rId17" Type="http://schemas.openxmlformats.org/officeDocument/2006/relationships/image" Target="media/image20.png"/><Relationship Id="rId16" Type="http://schemas.openxmlformats.org/officeDocument/2006/relationships/image" Target="media/image13.png"/><Relationship Id="rId19" Type="http://schemas.openxmlformats.org/officeDocument/2006/relationships/image" Target="media/image8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