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CVIČENIE 4 – SAD Sever, a. s.</w:t>
      </w:r>
    </w:p>
    <w:p>
      <w:pPr>
        <w:jc w:val="center"/>
      </w:pPr>
      <w:r>
        <w:t>Téma: Posudzovanie rizík kybernetickej bezpečnosti</w:t>
      </w:r>
    </w:p>
    <w:p>
      <w:pPr>
        <w:jc w:val="center"/>
      </w:pPr>
      <w:r>
        <w:t>Predmet: Kybernetická bezpečnosť  |  Týždeň: 4</w:t>
      </w:r>
    </w:p>
    <w:p>
      <w:pPr>
        <w:pStyle w:val="Heading1"/>
      </w:pPr>
      <w:r>
        <w:t>Úloha 1 – Kritériá hodnotenia rizík</w:t>
      </w:r>
    </w:p>
    <w:p>
      <w:r>
        <w:t>Pred samotným hodnotením rizík si SAD Sever, a. s. stanovuje kritériá, podľa ktorých bude riziká posudzovať. Tieto kritériá vychádzajú z metodiky ISO/IEC 27005, odporúčaní NBÚ a zo základnej CIA klasifikácie informačných aktív vypracovanej v Cvičení 2.</w:t>
      </w:r>
    </w:p>
    <w:p>
      <w:pPr>
        <w:pStyle w:val="Heading2"/>
      </w:pPr>
      <w:r>
        <w:t>Stupnica dopadu</w:t>
      </w:r>
    </w:p>
    <w:p>
      <w:r>
        <w:rPr>
          <w:b/>
        </w:rPr>
        <w:t>Tabuľka 1 – Stupnica dopadu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Hodnota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Úroveň dopadu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Charakteristika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r>
              <w:t>Zanedbateľný</w:t>
            </w:r>
          </w:p>
        </w:tc>
        <w:tc>
          <w:tcPr>
            <w:tcW w:type="dxa" w:w="2880"/>
          </w:tcPr>
          <w:p>
            <w:r>
              <w:t>Minimálny dopad na prevádzku. Krátkodobé, ľahko riešiteľné narušenie bez vplyvu na cestujúcich alebo samosprávy.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r>
              <w:t>Nízky</w:t>
            </w:r>
          </w:p>
        </w:tc>
        <w:tc>
          <w:tcPr>
            <w:tcW w:type="dxa" w:w="2880"/>
          </w:tcPr>
          <w:p>
            <w:r>
              <w:t>Mierne prevádzkové komplikácie. Obmedzený dopad na časť cestujúcich alebo krátkodobé narušenie dostupnosti jednej linky.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r>
              <w:t>Stredný</w:t>
            </w:r>
          </w:p>
        </w:tc>
        <w:tc>
          <w:tcPr>
            <w:tcW w:type="dxa" w:w="2880"/>
          </w:tcPr>
          <w:p>
            <w:r>
              <w:t>Významné narušenie jedného alebo viacerých procesov (napr. dispečing, predaj lístkov). Citeľný dopad na cestujúcich, samosprávy alebo interné fungovanie spoločnosti.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r>
              <w:t>Vysoký</w:t>
            </w:r>
          </w:p>
        </w:tc>
        <w:tc>
          <w:tcPr>
            <w:tcW w:type="dxa" w:w="2880"/>
          </w:tcPr>
          <w:p>
            <w:r>
              <w:t>Dlhší výpadok prevádzky alebo viacerých liniek. Významný finančný, právny alebo reputačný dopad; možné zmluvné sankcie zo strany samospráv.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r>
              <w:t>Kritický</w:t>
            </w:r>
          </w:p>
        </w:tc>
        <w:tc>
          <w:tcPr>
            <w:tcW w:type="dxa" w:w="2880"/>
          </w:tcPr>
          <w:p>
            <w:r>
              <w:t>Úplné prerušenie dopravnej obslužnosti regiónu alebo závažný únik osobných/platobných údajov zákazníkov. Hrozba odobrania licencie, vysoká pokuta ÚOOÚ.</w:t>
            </w:r>
          </w:p>
        </w:tc>
      </w:tr>
    </w:tbl>
    <w:p>
      <w:pPr>
        <w:pStyle w:val="Heading2"/>
      </w:pPr>
      <w:r>
        <w:t>Stupnica pravdepodobnosti</w:t>
      </w:r>
    </w:p>
    <w:p>
      <w:r>
        <w:rPr>
          <w:b/>
        </w:rPr>
        <w:t>Tabuľka 2 – Stupnica pravdepodobnosti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Hodnota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Pravdepodobnosť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Charakteristika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r>
              <w:t>Veľmi nízka</w:t>
            </w:r>
          </w:p>
        </w:tc>
        <w:tc>
          <w:tcPr>
            <w:tcW w:type="dxa" w:w="2880"/>
          </w:tcPr>
          <w:p>
            <w:r>
              <w:t>Realizácia hrozby je veľmi nepravdepodobná. V sektore dopravy sa takáto udalosť vyskytuje výnimočne.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r>
              <w:t>Nízka</w:t>
            </w:r>
          </w:p>
        </w:tc>
        <w:tc>
          <w:tcPr>
            <w:tcW w:type="dxa" w:w="2880"/>
          </w:tcPr>
          <w:p>
            <w:r>
              <w:t>Realizácia hrozby je možná, ale zriedkavá. Organizácia má zavedené základné opatrenia.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r>
              <w:t>Stredná</w:t>
            </w:r>
          </w:p>
        </w:tc>
        <w:tc>
          <w:tcPr>
            <w:tcW w:type="dxa" w:w="2880"/>
          </w:tcPr>
          <w:p>
            <w:r>
              <w:t>Realizácia je reálne možná a môže sa vyskytnúť v bežnej prevádzke. Hrozba je v sektore dopravy pomerne bežná.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r>
              <w:t>Vysoká</w:t>
            </w:r>
          </w:p>
        </w:tc>
        <w:tc>
          <w:tcPr>
            <w:tcW w:type="dxa" w:w="2880"/>
          </w:tcPr>
          <w:p>
            <w:r>
              <w:t>Realizácia je pravdepodobná a môže sa opakovať. Podobné incidenty sa v sektore vyskytli opakovane.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r>
              <w:t>Veľmi vysoká</w:t>
            </w:r>
          </w:p>
        </w:tc>
        <w:tc>
          <w:tcPr>
            <w:tcW w:type="dxa" w:w="2880"/>
          </w:tcPr>
          <w:p>
            <w:r>
              <w:t>Realizácia je takmer istá alebo sa opakovane vyskytla v organizácii alebo v sektore.</w:t>
            </w:r>
          </w:p>
        </w:tc>
      </w:tr>
    </w:tbl>
    <w:p>
      <w:pPr>
        <w:pStyle w:val="Heading2"/>
      </w:pPr>
      <w:r>
        <w:t>Kritériá akceptácie rizika</w:t>
      </w:r>
    </w:p>
    <w:p>
      <w:r>
        <w:rPr>
          <w:b/>
        </w:rPr>
        <w:t>Tabuľka 3 – Kritériá akceptácie rizika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Hodnota rizika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Úroveň rizika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Charakteristika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Postup organizácie</w:t>
            </w:r>
          </w:p>
        </w:tc>
      </w:tr>
      <w:tr>
        <w:tc>
          <w:tcPr>
            <w:tcW w:type="dxa" w:w="2160"/>
          </w:tcPr>
          <w:p>
            <w:r>
              <w:t>1 – 5</w:t>
            </w:r>
          </w:p>
        </w:tc>
        <w:tc>
          <w:tcPr>
            <w:tcW w:type="dxa" w:w="2160"/>
          </w:tcPr>
          <w:p>
            <w:r>
              <w:t>Nízke riziko</w:t>
            </w:r>
          </w:p>
        </w:tc>
        <w:tc>
          <w:tcPr>
            <w:tcW w:type="dxa" w:w="2160"/>
          </w:tcPr>
          <w:p>
            <w:r>
              <w:t>Riziko má minimálny dopad na prevádzku.</w:t>
            </w:r>
          </w:p>
        </w:tc>
        <w:tc>
          <w:tcPr>
            <w:tcW w:type="dxa" w:w="2160"/>
          </w:tcPr>
          <w:p>
            <w:r>
              <w:t>Akceptovateľné; nie sú potrebné dodatočné opatrenia. Sledovanie raz ročne.</w:t>
            </w:r>
          </w:p>
        </w:tc>
      </w:tr>
      <w:tr>
        <w:tc>
          <w:tcPr>
            <w:tcW w:type="dxa" w:w="2160"/>
          </w:tcPr>
          <w:p>
            <w:r>
              <w:t>6 – 10</w:t>
            </w:r>
          </w:p>
        </w:tc>
        <w:tc>
          <w:tcPr>
            <w:tcW w:type="dxa" w:w="2160"/>
          </w:tcPr>
          <w:p>
            <w:r>
              <w:t>Stredné riziko</w:t>
            </w:r>
          </w:p>
        </w:tc>
        <w:tc>
          <w:tcPr>
            <w:tcW w:type="dxa" w:w="2160"/>
          </w:tcPr>
          <w:p>
            <w:r>
              <w:t>Riziko môže spôsobiť prevádzkové komplikácie.</w:t>
            </w:r>
          </w:p>
        </w:tc>
        <w:tc>
          <w:tcPr>
            <w:tcW w:type="dxa" w:w="2160"/>
          </w:tcPr>
          <w:p>
            <w:r>
              <w:t>Možné akceptovať s podmienkou sledovania; odporúča sa zvážiť preventívne opatrenia.</w:t>
            </w:r>
          </w:p>
        </w:tc>
      </w:tr>
      <w:tr>
        <w:tc>
          <w:tcPr>
            <w:tcW w:type="dxa" w:w="2160"/>
          </w:tcPr>
          <w:p>
            <w:r>
              <w:t>11 – 15</w:t>
            </w:r>
          </w:p>
        </w:tc>
        <w:tc>
          <w:tcPr>
            <w:tcW w:type="dxa" w:w="2160"/>
          </w:tcPr>
          <w:p>
            <w:r>
              <w:t>Zvýšené riziko</w:t>
            </w:r>
          </w:p>
        </w:tc>
        <w:tc>
          <w:tcPr>
            <w:tcW w:type="dxa" w:w="2160"/>
          </w:tcPr>
          <w:p>
            <w:r>
              <w:t>Riziko môže významne ovplyvniť prevádzku.</w:t>
            </w:r>
          </w:p>
        </w:tc>
        <w:tc>
          <w:tcPr>
            <w:tcW w:type="dxa" w:w="2160"/>
          </w:tcPr>
          <w:p>
            <w:r>
              <w:t>Odporúča sa prijať opatrenia na zníženie rizika (do 6 mesiacov).</w:t>
            </w:r>
          </w:p>
        </w:tc>
      </w:tr>
      <w:tr>
        <w:tc>
          <w:tcPr>
            <w:tcW w:type="dxa" w:w="2160"/>
          </w:tcPr>
          <w:p>
            <w:r>
              <w:t>16 – 25</w:t>
            </w:r>
          </w:p>
        </w:tc>
        <w:tc>
          <w:tcPr>
            <w:tcW w:type="dxa" w:w="2160"/>
          </w:tcPr>
          <w:p>
            <w:r>
              <w:t>Vysoké riziko</w:t>
            </w:r>
          </w:p>
        </w:tc>
        <w:tc>
          <w:tcPr>
            <w:tcW w:type="dxa" w:w="2160"/>
          </w:tcPr>
          <w:p>
            <w:r>
              <w:t>Riziko môže spôsobiť vážne narušenie služby.</w:t>
            </w:r>
          </w:p>
        </w:tc>
        <w:tc>
          <w:tcPr>
            <w:tcW w:type="dxa" w:w="2160"/>
          </w:tcPr>
          <w:p>
            <w:r>
              <w:t>Neakceptovateľné; je potrebné okamžite prijať bezpečnostné opatrenia.</w:t>
            </w:r>
          </w:p>
        </w:tc>
      </w:tr>
    </w:tbl>
    <w:p>
      <w:r>
        <w:t>Vzťah CIA klasifikácie a dopadu: Informačné aktíva klasifikované s vysokou dôvernosťou (napr. INF-06 – osobné údaje) alebo vysokou dostupnosťou (napr. INF-04 – logy dispečingu) majú pri narušení vyšší dopad (hodnota 4–5). Aktíva s nižšou klasifikáciou (napr. INF-07 – plány údržby) generujú nižší dopad (hodnota 2–3).</w:t>
      </w:r>
    </w:p>
    <w:p>
      <w:pPr>
        <w:pStyle w:val="Heading1"/>
      </w:pPr>
      <w:r>
        <w:t>Úloha 2 – Výber aktív</w:t>
      </w:r>
    </w:p>
    <w:p>
      <w:r>
        <w:t>Na základe výstupov z Cvičenia 2 identifikujeme primárne aktívum služby SL1 a päť kľúčových podporných aktív, ktoré sú najkritickejšie pre jej poskytovanie. Primárne aktívum predstavuje samotnú základnú dopravnú službu a informačné aktíva, podporné aktíva sú IS a infraštruktúra na nej závislá.</w:t>
      </w:r>
    </w:p>
    <w:p>
      <w:r>
        <w:rPr>
          <w:b/>
        </w:rPr>
        <w:t>Tabuľka 4 – Vybrané aktíva pre hodnotenie rizík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aktíva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Názov aktíva</w:t>
            </w:r>
          </w:p>
        </w:tc>
        <w:tc>
          <w:tcPr>
            <w:tcW w:type="dxa" w:w="21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Zdôvodnenie výberu</w:t>
            </w:r>
          </w:p>
        </w:tc>
      </w:tr>
      <w:tr>
        <w:tc>
          <w:tcPr>
            <w:tcW w:type="dxa" w:w="2160"/>
          </w:tcPr>
          <w:p>
            <w:r>
              <w:t>INF-04 (primárne)</w:t>
            </w:r>
          </w:p>
        </w:tc>
        <w:tc>
          <w:tcPr>
            <w:tcW w:type="dxa" w:w="2160"/>
          </w:tcPr>
          <w:p>
            <w:r>
              <w:t>Primárne – informácia</w:t>
            </w:r>
          </w:p>
        </w:tc>
        <w:tc>
          <w:tcPr>
            <w:tcW w:type="dxa" w:w="2160"/>
          </w:tcPr>
          <w:p>
            <w:r>
              <w:t>Prevádzkové záznamy a logy dispečingu</w:t>
            </w:r>
          </w:p>
        </w:tc>
        <w:tc>
          <w:tcPr>
            <w:tcW w:type="dxa" w:w="2160"/>
          </w:tcPr>
          <w:p>
            <w:r>
              <w:t>Dostupnosť V – výpadok znemožní koordináciu prevádzky v reálnom čase.</w:t>
            </w:r>
          </w:p>
        </w:tc>
      </w:tr>
      <w:tr>
        <w:tc>
          <w:tcPr>
            <w:tcW w:type="dxa" w:w="2160"/>
          </w:tcPr>
          <w:p>
            <w:r>
              <w:t>INF-06 (primárne)</w:t>
            </w:r>
          </w:p>
        </w:tc>
        <w:tc>
          <w:tcPr>
            <w:tcW w:type="dxa" w:w="2160"/>
          </w:tcPr>
          <w:p>
            <w:r>
              <w:t>Primárne – informácia</w:t>
            </w:r>
          </w:p>
        </w:tc>
        <w:tc>
          <w:tcPr>
            <w:tcW w:type="dxa" w:w="2160"/>
          </w:tcPr>
          <w:p>
            <w:r>
              <w:t>Osobné a platobné údaje zákazníkov</w:t>
            </w:r>
          </w:p>
        </w:tc>
        <w:tc>
          <w:tcPr>
            <w:tcW w:type="dxa" w:w="2160"/>
          </w:tcPr>
          <w:p>
            <w:r>
              <w:t>Dôvernosť P – únik má právne dôsledky (GDPR, pokuta ÚOOÚ).</w:t>
            </w:r>
          </w:p>
        </w:tc>
      </w:tr>
      <w:tr>
        <w:tc>
          <w:tcPr>
            <w:tcW w:type="dxa" w:w="2160"/>
          </w:tcPr>
          <w:p>
            <w:r>
              <w:t>POD-02 (podporné)</w:t>
            </w:r>
          </w:p>
        </w:tc>
        <w:tc>
          <w:tcPr>
            <w:tcW w:type="dxa" w:w="2160"/>
          </w:tcPr>
          <w:p>
            <w:r>
              <w:t>Podporné – IS</w:t>
            </w:r>
          </w:p>
        </w:tc>
        <w:tc>
          <w:tcPr>
            <w:tcW w:type="dxa" w:w="2160"/>
          </w:tcPr>
          <w:p>
            <w:r>
              <w:t>Dispečerský informačný systém (GPS monitoring)</w:t>
            </w:r>
          </w:p>
        </w:tc>
        <w:tc>
          <w:tcPr>
            <w:tcW w:type="dxa" w:w="2160"/>
          </w:tcPr>
          <w:p>
            <w:r>
              <w:t>Kritický pre P2; výpadok = strata koordinácie prevádzky.</w:t>
            </w:r>
          </w:p>
        </w:tc>
      </w:tr>
      <w:tr>
        <w:tc>
          <w:tcPr>
            <w:tcW w:type="dxa" w:w="2160"/>
          </w:tcPr>
          <w:p>
            <w:r>
              <w:t>POD-06 (podporné)</w:t>
            </w:r>
          </w:p>
        </w:tc>
        <w:tc>
          <w:tcPr>
            <w:tcW w:type="dxa" w:w="2160"/>
          </w:tcPr>
          <w:p>
            <w:r>
              <w:t>Podporné – Hardvér</w:t>
            </w:r>
          </w:p>
        </w:tc>
        <w:tc>
          <w:tcPr>
            <w:tcW w:type="dxa" w:w="2160"/>
          </w:tcPr>
          <w:p>
            <w:r>
              <w:t>Servery, pracovné stanice, pokladničné terminály</w:t>
            </w:r>
          </w:p>
        </w:tc>
        <w:tc>
          <w:tcPr>
            <w:tcW w:type="dxa" w:w="2160"/>
          </w:tcPr>
          <w:p>
            <w:r>
              <w:t>Fyzická IT infraštruktúra – základ pre všetky IS; výpadok zastaví P2 aj P4.</w:t>
            </w:r>
          </w:p>
        </w:tc>
      </w:tr>
      <w:tr>
        <w:tc>
          <w:tcPr>
            <w:tcW w:type="dxa" w:w="2160"/>
          </w:tcPr>
          <w:p>
            <w:r>
              <w:t>POD-07 (podporné)</w:t>
            </w:r>
          </w:p>
        </w:tc>
        <w:tc>
          <w:tcPr>
            <w:tcW w:type="dxa" w:w="2160"/>
          </w:tcPr>
          <w:p>
            <w:r>
              <w:t>Podporné – Sieť</w:t>
            </w:r>
          </w:p>
        </w:tc>
        <w:tc>
          <w:tcPr>
            <w:tcW w:type="dxa" w:w="2160"/>
          </w:tcPr>
          <w:p>
            <w:r>
              <w:t>Mobilná datová sieť (LTE/4G)</w:t>
            </w:r>
          </w:p>
        </w:tc>
        <w:tc>
          <w:tcPr>
            <w:tcW w:type="dxa" w:w="2160"/>
          </w:tcPr>
          <w:p>
            <w:r>
              <w:t>Externá závislosť; výpadok sete = strata GPS dát a online predaja.</w:t>
            </w:r>
          </w:p>
        </w:tc>
      </w:tr>
      <w:tr>
        <w:tc>
          <w:tcPr>
            <w:tcW w:type="dxa" w:w="2160"/>
          </w:tcPr>
          <w:p>
            <w:r>
              <w:t>POD-11 (podporné)</w:t>
            </w:r>
          </w:p>
        </w:tc>
        <w:tc>
          <w:tcPr>
            <w:tcW w:type="dxa" w:w="2160"/>
          </w:tcPr>
          <w:p>
            <w:r>
              <w:t>Podporné – Ľudia</w:t>
            </w:r>
          </w:p>
        </w:tc>
        <w:tc>
          <w:tcPr>
            <w:tcW w:type="dxa" w:w="2160"/>
          </w:tcPr>
          <w:p>
            <w:r>
              <w:t>IT tím / IT dodávateľ (outsourcing)</w:t>
            </w:r>
          </w:p>
        </w:tc>
        <w:tc>
          <w:tcPr>
            <w:tcW w:type="dxa" w:w="2160"/>
          </w:tcPr>
          <w:p>
            <w:r>
              <w:t>Správa všetkých IS; chyba alebo absencia IT tímu ohrozí celú IT prevádzku.</w:t>
            </w:r>
          </w:p>
        </w:tc>
      </w:tr>
      <w:tr>
        <w:tc>
          <w:tcPr>
            <w:tcW w:type="dxa" w:w="2160"/>
          </w:tcPr>
          <w:p>
            <w:r>
              <w:t>POD-15 (podporné)</w:t>
            </w:r>
          </w:p>
        </w:tc>
        <w:tc>
          <w:tcPr>
            <w:tcW w:type="dxa" w:w="2160"/>
          </w:tcPr>
          <w:p>
            <w:r>
              <w:t>Podporné – Externá sl.</w:t>
            </w:r>
          </w:p>
        </w:tc>
        <w:tc>
          <w:tcPr>
            <w:tcW w:type="dxa" w:w="2160"/>
          </w:tcPr>
          <w:p>
            <w:r>
              <w:t>Telekomunikačný operátor</w:t>
            </w:r>
          </w:p>
        </w:tc>
        <w:tc>
          <w:tcPr>
            <w:tcW w:type="dxa" w:w="2160"/>
          </w:tcPr>
          <w:p>
            <w:r>
              <w:t>Poskytuje mobilnú sieť pre GPS aj online predaj; výpadok = dvojitý dopad.</w:t>
            </w:r>
          </w:p>
        </w:tc>
      </w:tr>
    </w:tbl>
    <w:p>
      <w:pPr>
        <w:pStyle w:val="Heading1"/>
      </w:pPr>
      <w:r>
        <w:t>Úloha 3 – Identifikácia hrozieb a zraniteľností</w:t>
      </w:r>
    </w:p>
    <w:p>
      <w:r>
        <w:t>Pre každé vybrané aktívum identifikujeme minimálne 2 hrozby a 3 zraniteľnosti. Pri identifikácii hrozieb vychádzame z Katalógu hrozieb NBÚ a zo štandardu ISO/IEC 27005. Zraniteľnosti reflektujú konkrétne slabé miesta v prevádzkovom prostredí SAD Sever.</w:t>
      </w:r>
    </w:p>
    <w:p>
      <w:pPr>
        <w:pStyle w:val="Heading2"/>
      </w:pPr>
      <w:r>
        <w:t>POD-02 – Dispečerský IS (GPS monitoring)</w:t>
      </w:r>
    </w:p>
    <w:p>
      <w:r>
        <w:rPr>
          <w:b/>
        </w:rPr>
        <w:t>Hrozby:</w:t>
      </w:r>
    </w:p>
    <w:p>
      <w:r>
        <w:t>• T1 – Kybernetický útok – ransomware: Útočník zašifruje databázu dispečerského IS; prevádzka nie je koordinovaná.</w:t>
      </w:r>
    </w:p>
    <w:p>
      <w:r>
        <w:t>• T2 – Neoprávnený prístup (insider threat): Zamestnanec alebo outsourcovaný IT pracovník získa neoprávnený prístup a modifikuje GPS záznamy alebo cestovné poriadky.</w:t>
      </w:r>
    </w:p>
    <w:p>
      <w:r>
        <w:rPr>
          <w:b/>
        </w:rPr>
        <w:t>Zraniteľnosti:</w:t>
      </w:r>
    </w:p>
    <w:p>
      <w:r>
        <w:t>• Z1 – Zastarané OS servera bez aktualizácií – existujúce CVE zraniteľnosti.</w:t>
      </w:r>
    </w:p>
    <w:p>
      <w:r>
        <w:t>• Z2 – Nedostatočná segmentácia siete – dispečerský IS nie je oddelený od bežnej siete.</w:t>
      </w:r>
    </w:p>
    <w:p>
      <w:r>
        <w:t>• Z3 – Chýbajúce zálohovanie konfigurácií a databázy dispečerského IS.</w:t>
      </w:r>
    </w:p>
    <w:p>
      <w:r>
        <w:t>• Z4 – Slabá autentizácia – prístup bez MFA pre administrátorov IS.</w:t>
      </w:r>
    </w:p>
    <w:p>
      <w:pPr>
        <w:pStyle w:val="Heading2"/>
      </w:pPr>
      <w:r>
        <w:t>POD-06 – Servery, pracovné stanice, terminály</w:t>
      </w:r>
    </w:p>
    <w:p>
      <w:r>
        <w:rPr>
          <w:b/>
        </w:rPr>
        <w:t>Hrozby:</w:t>
      </w:r>
    </w:p>
    <w:p>
      <w:r>
        <w:t>• T1 – Fyzické poškodenie/krádež hardvéru: Krádež alebo fyzické poškodenie serverov v serverovni alebo terminálov na zastávkach.</w:t>
      </w:r>
    </w:p>
    <w:p>
      <w:r>
        <w:t>• T2 – Výpadok napájania (power failure): Dlhodobý výpadok elektrickej energie paralyzuje servery a terminály.</w:t>
      </w:r>
    </w:p>
    <w:p>
      <w:r>
        <w:rPr>
          <w:b/>
        </w:rPr>
        <w:t>Zraniteľnosti:</w:t>
      </w:r>
    </w:p>
    <w:p>
      <w:r>
        <w:t>• Z1 – Neexistencia záložného zdroja napájania (UPS/generátor) v serverovni.</w:t>
      </w:r>
    </w:p>
    <w:p>
      <w:r>
        <w:t>• Z2 – Nedostatočná fyzická ochrana serverovne – chýba kamerový systém alebo RFID prístup.</w:t>
      </w:r>
    </w:p>
    <w:p>
      <w:r>
        <w:t>• Z3 – Terminály na zastávkach bez šifrovaného disku – pri krádeži možný únik dát.</w:t>
      </w:r>
    </w:p>
    <w:p>
      <w:r>
        <w:t>• Z4 – Neaktualizovaný firmware hardvéru – zraniteľnosti v zariadeniach.</w:t>
      </w:r>
    </w:p>
    <w:p>
      <w:pPr>
        <w:pStyle w:val="Heading2"/>
      </w:pPr>
      <w:r>
        <w:t>POD-07 – Mobilná datová sieť (LTE/4G)</w:t>
      </w:r>
    </w:p>
    <w:p>
      <w:r>
        <w:rPr>
          <w:b/>
        </w:rPr>
        <w:t>Hrozby:</w:t>
      </w:r>
    </w:p>
    <w:p>
      <w:r>
        <w:t>• T1 – Výpadok služby telekomunikačného operátora: Regionálny výpadok siete LTE znemožní GPS monitoring a online predaj lístkov.</w:t>
      </w:r>
    </w:p>
    <w:p>
      <w:r>
        <w:t>• T2 – Odpočúvanie / man-in-the-middle útok: Zachytenie nešifrovanej komunikácie medzi autobusmi a dispečingom.</w:t>
      </w:r>
    </w:p>
    <w:p>
      <w:r>
        <w:rPr>
          <w:b/>
        </w:rPr>
        <w:t>Zraniteľnosti:</w:t>
      </w:r>
    </w:p>
    <w:p>
      <w:r>
        <w:t>• Z1 – Závislosť na jedinom telekomunikačnom operátorovi bez záložného spojenia.</w:t>
      </w:r>
    </w:p>
    <w:p>
      <w:r>
        <w:t>• Z2 – Nedostatočné šifrovanie GPS komunikácie medzi vozidlami a IS.</w:t>
      </w:r>
    </w:p>
    <w:p>
      <w:r>
        <w:t>• Z3 – Chýbajúci offline režim dispečingu pre prípad výpadku siete.</w:t>
      </w:r>
    </w:p>
    <w:p>
      <w:pPr>
        <w:pStyle w:val="Heading2"/>
      </w:pPr>
      <w:r>
        <w:t>POD-11 – IT tím / IT dodávateľ (outsourcing)</w:t>
      </w:r>
    </w:p>
    <w:p>
      <w:r>
        <w:rPr>
          <w:b/>
        </w:rPr>
        <w:t>Hrozby:</w:t>
      </w:r>
    </w:p>
    <w:p>
      <w:r>
        <w:t>• T1 – Chyba alebo sabotáž IT pracovníka: IT dodávateľ omylom alebo úmyselne zmaže konfigurácie alebo dáta IS.</w:t>
      </w:r>
    </w:p>
    <w:p>
      <w:r>
        <w:t>• T2 – Nedostupnosť kľúčového IT personálu: Kľúčový IT špecialista odíde alebo ochorie v kritickom čase bez nástupca.</w:t>
      </w:r>
    </w:p>
    <w:p>
      <w:r>
        <w:rPr>
          <w:b/>
        </w:rPr>
        <w:t>Zraniteľnosti:</w:t>
      </w:r>
    </w:p>
    <w:p>
      <w:r>
        <w:t>• Z1 – Nedostatočná dokumentácia IS a procesov – závislosť na jednom dodávateľovi.</w:t>
      </w:r>
    </w:p>
    <w:p>
      <w:r>
        <w:t>• Z2 – Chýbajúce zmluvy SLA s definovanými dobami odozvy a dostupnosti.</w:t>
      </w:r>
    </w:p>
    <w:p>
      <w:r>
        <w:t>• Z3 – Neexistencia politiky riadenia prístupov IT dodávateľov (princíp najnižších privilégií).</w:t>
      </w:r>
    </w:p>
    <w:p>
      <w:r>
        <w:t>• Z4 – Chýbajúce pravidelné školenia a certifikácie IT personálu v oblasti KB.</w:t>
      </w:r>
    </w:p>
    <w:p>
      <w:pPr>
        <w:pStyle w:val="Heading2"/>
      </w:pPr>
      <w:r>
        <w:t>POD-15 – Telekomunikačný operátor</w:t>
      </w:r>
    </w:p>
    <w:p>
      <w:r>
        <w:rPr>
          <w:b/>
        </w:rPr>
        <w:t>Hrozby:</w:t>
      </w:r>
    </w:p>
    <w:p>
      <w:r>
        <w:t>• T1 – Výpadok SIM kariet / datových služieb: Operátor zruší alebo preruší dátové SIM karty vo vozidlách; GPS prestane fungovať.</w:t>
      </w:r>
    </w:p>
    <w:p>
      <w:r>
        <w:t>• T2 – Kybernetický útok na operátora: Útok na infraštruktúru operátora znemožní prenášanie dát pre celý región.</w:t>
      </w:r>
    </w:p>
    <w:p>
      <w:r>
        <w:rPr>
          <w:b/>
        </w:rPr>
        <w:t>Zraniteľnosti:</w:t>
      </w:r>
    </w:p>
    <w:p>
      <w:r>
        <w:t>• Z1 – Neexistencia záložného telekomunikačného operátora alebo technológie (napr. satelit).</w:t>
      </w:r>
    </w:p>
    <w:p>
      <w:r>
        <w:t>• Z2 – Chýbajúce SLA zmluvy s operátorom definujúce dostupnosť a dobu obnovy.</w:t>
      </w:r>
    </w:p>
    <w:p>
      <w:r>
        <w:t>• Z3 – GPS zariadenia vo vozidlách bez lokálneho bufferovania dát pri výpadku siete.</w:t>
      </w:r>
    </w:p>
    <w:p>
      <w:pPr>
        <w:pStyle w:val="Heading1"/>
      </w:pPr>
      <w:r>
        <w:t>Úloha 4 – Register rizík</w:t>
      </w:r>
    </w:p>
    <w:p>
      <w:r>
        <w:t>Register rizík obsahuje rizikové scenáre pre primárne aktívum SL1 (služba pravidelnej autobusovej dopravy) a jeho kľúčové podporné aktíva. Každý riadok predstavuje jeden rizikový scenár. Riziko = Dopad × Pravdepodobnosť.</w:t>
      </w:r>
    </w:p>
    <w:p>
      <w:r>
        <w:rPr>
          <w:b/>
        </w:rPr>
        <w:t>Tabuľka 5 – Register rizík</w:t>
      </w:r>
    </w:p>
    <w:p>
      <w:r>
        <w:rPr>
          <w:b/>
        </w:rPr>
        <w:t>Tabuľka 5 – Register rizík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  <w:br/>
              <w:t>rizika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Primárne</w:t>
              <w:br/>
              <w:t>aktívum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Podporné</w:t>
              <w:br/>
              <w:t>aktívum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Hrozba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Zraniteľnosť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CIA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Dopad</w:t>
              <w:br/>
              <w:t>(1–5)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Pravdep.</w:t>
              <w:br/>
              <w:t>(1–5)</w:t>
            </w:r>
          </w:p>
        </w:tc>
        <w:tc>
          <w:tcPr>
            <w:tcW w:type="dxa" w:w="96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Riziko</w:t>
              <w:br/>
              <w:t>(D×P)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R-01</w:t>
            </w:r>
          </w:p>
        </w:tc>
        <w:tc>
          <w:tcPr>
            <w:tcW w:type="dxa" w:w="960"/>
          </w:tcPr>
          <w:p>
            <w:r>
              <w:t>INF-04</w:t>
              <w:br/>
              <w:t>(Logy dispečingu)</w:t>
            </w:r>
          </w:p>
        </w:tc>
        <w:tc>
          <w:tcPr>
            <w:tcW w:type="dxa" w:w="960"/>
          </w:tcPr>
          <w:p>
            <w:r>
              <w:t>POD-02</w:t>
              <w:br/>
              <w:t>Dispečerský IS</w:t>
            </w:r>
          </w:p>
        </w:tc>
        <w:tc>
          <w:tcPr>
            <w:tcW w:type="dxa" w:w="960"/>
          </w:tcPr>
          <w:p>
            <w:r>
              <w:t>Ransomware útok na IS</w:t>
            </w:r>
          </w:p>
        </w:tc>
        <w:tc>
          <w:tcPr>
            <w:tcW w:type="dxa" w:w="960"/>
          </w:tcPr>
          <w:p>
            <w:r>
              <w:t>Zastarané OS bez záplat (Z1); chýbajúce zálohy (Z3); nedostatočná sieťová segmentácia (Z2)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  <w:shd w:val="clear" w:color="auto" w:fill="FFC00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R-02</w:t>
            </w:r>
          </w:p>
        </w:tc>
        <w:tc>
          <w:tcPr>
            <w:tcW w:type="dxa" w:w="960"/>
          </w:tcPr>
          <w:p>
            <w:r>
              <w:t>INF-04</w:t>
              <w:br/>
              <w:t>(Logy dispečingu)</w:t>
            </w:r>
          </w:p>
        </w:tc>
        <w:tc>
          <w:tcPr>
            <w:tcW w:type="dxa" w:w="960"/>
          </w:tcPr>
          <w:p>
            <w:r>
              <w:t>POD-02</w:t>
              <w:br/>
              <w:t>Dispečerský IS</w:t>
            </w:r>
          </w:p>
        </w:tc>
        <w:tc>
          <w:tcPr>
            <w:tcW w:type="dxa" w:w="960"/>
          </w:tcPr>
          <w:p>
            <w:r>
              <w:t>Neoprávnený prístup (insider)</w:t>
            </w:r>
          </w:p>
        </w:tc>
        <w:tc>
          <w:tcPr>
            <w:tcW w:type="dxa" w:w="960"/>
          </w:tcPr>
          <w:p>
            <w:r>
              <w:t>Slabá autentizácia bez MFA (Z4); nedostatočná segmentácia siete (Z2)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C, I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0"/>
            <w:shd w:val="clear" w:color="auto" w:fill="FFFF0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R-03</w:t>
            </w:r>
          </w:p>
        </w:tc>
        <w:tc>
          <w:tcPr>
            <w:tcW w:type="dxa" w:w="960"/>
          </w:tcPr>
          <w:p>
            <w:r>
              <w:t>INF-04</w:t>
              <w:br/>
              <w:t>(Logy dispečingu)</w:t>
            </w:r>
          </w:p>
        </w:tc>
        <w:tc>
          <w:tcPr>
            <w:tcW w:type="dxa" w:w="960"/>
          </w:tcPr>
          <w:p>
            <w:r>
              <w:t>POD-06</w:t>
              <w:br/>
              <w:t>Servery</w:t>
            </w:r>
          </w:p>
        </w:tc>
        <w:tc>
          <w:tcPr>
            <w:tcW w:type="dxa" w:w="960"/>
          </w:tcPr>
          <w:p>
            <w:r>
              <w:t>Výpadok napájania (power failure)</w:t>
            </w:r>
          </w:p>
        </w:tc>
        <w:tc>
          <w:tcPr>
            <w:tcW w:type="dxa" w:w="960"/>
          </w:tcPr>
          <w:p>
            <w:r>
              <w:t>Neexistencia UPS/generátora (Z1); chýbajúce zálohy na externé úložisko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  <w:shd w:val="clear" w:color="auto" w:fill="FFC00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R-04</w:t>
            </w:r>
          </w:p>
        </w:tc>
        <w:tc>
          <w:tcPr>
            <w:tcW w:type="dxa" w:w="960"/>
          </w:tcPr>
          <w:p>
            <w:r>
              <w:t>INF-04</w:t>
              <w:br/>
              <w:t>(Logy dispečingu)</w:t>
            </w:r>
          </w:p>
        </w:tc>
        <w:tc>
          <w:tcPr>
            <w:tcW w:type="dxa" w:w="960"/>
          </w:tcPr>
          <w:p>
            <w:r>
              <w:t>POD-06</w:t>
              <w:br/>
              <w:t>Servery / terminály</w:t>
            </w:r>
          </w:p>
        </w:tc>
        <w:tc>
          <w:tcPr>
            <w:tcW w:type="dxa" w:w="960"/>
          </w:tcPr>
          <w:p>
            <w:r>
              <w:t>Fyzická krádež terminálu na zastávke</w:t>
            </w:r>
          </w:p>
        </w:tc>
        <w:tc>
          <w:tcPr>
            <w:tcW w:type="dxa" w:w="960"/>
          </w:tcPr>
          <w:p>
            <w:r>
              <w:t>Nešifrovaný disk terminálu (Z3); nedostatočná fyzická ochrana (Z2)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0"/>
            <w:shd w:val="clear" w:color="auto" w:fill="FFFF0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R-05</w:t>
            </w:r>
          </w:p>
        </w:tc>
        <w:tc>
          <w:tcPr>
            <w:tcW w:type="dxa" w:w="960"/>
          </w:tcPr>
          <w:p>
            <w:r>
              <w:t>INF-04</w:t>
              <w:br/>
              <w:t>(Logy dispečingu)</w:t>
            </w:r>
          </w:p>
        </w:tc>
        <w:tc>
          <w:tcPr>
            <w:tcW w:type="dxa" w:w="960"/>
          </w:tcPr>
          <w:p>
            <w:r>
              <w:t>POD-07</w:t>
              <w:br/>
              <w:t>Mobilná sieť</w:t>
            </w:r>
          </w:p>
        </w:tc>
        <w:tc>
          <w:tcPr>
            <w:tcW w:type="dxa" w:w="960"/>
          </w:tcPr>
          <w:p>
            <w:r>
              <w:t>Regionálny výpadok siete LTE</w:t>
            </w:r>
          </w:p>
        </w:tc>
        <w:tc>
          <w:tcPr>
            <w:tcW w:type="dxa" w:w="960"/>
          </w:tcPr>
          <w:p>
            <w:r>
              <w:t>Závislosť na jedinom operátorovi (Z1); chýbajúci offline režim (Z3)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0"/>
            <w:shd w:val="clear" w:color="auto" w:fill="FFFF0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R-06</w:t>
            </w:r>
          </w:p>
        </w:tc>
        <w:tc>
          <w:tcPr>
            <w:tcW w:type="dxa" w:w="960"/>
          </w:tcPr>
          <w:p>
            <w:r>
              <w:t>INF-04</w:t>
              <w:br/>
              <w:t>(Logy dispečingu)</w:t>
            </w:r>
          </w:p>
        </w:tc>
        <w:tc>
          <w:tcPr>
            <w:tcW w:type="dxa" w:w="960"/>
          </w:tcPr>
          <w:p>
            <w:r>
              <w:t>POD-07</w:t>
              <w:br/>
              <w:t>Mobilná sieť</w:t>
            </w:r>
          </w:p>
        </w:tc>
        <w:tc>
          <w:tcPr>
            <w:tcW w:type="dxa" w:w="960"/>
          </w:tcPr>
          <w:p>
            <w:r>
              <w:t>Man-in-the-middle útok na GPS komunikáciu</w:t>
            </w:r>
          </w:p>
        </w:tc>
        <w:tc>
          <w:tcPr>
            <w:tcW w:type="dxa" w:w="960"/>
          </w:tcPr>
          <w:p>
            <w:r>
              <w:t>Nedostatočné šifrovanie GPS prenosu (Z2); závislosť na jedinom operátore (Z1)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C, I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0"/>
            <w:shd w:val="clear" w:color="auto" w:fill="FFFF0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R-07</w:t>
            </w:r>
          </w:p>
        </w:tc>
        <w:tc>
          <w:tcPr>
            <w:tcW w:type="dxa" w:w="960"/>
          </w:tcPr>
          <w:p>
            <w:r>
              <w:t>INF-04</w:t>
              <w:br/>
              <w:t>(Logy dispečingu)</w:t>
              <w:br/>
              <w:t>INF-06</w:t>
              <w:br/>
              <w:t>(Osobné údaje)</w:t>
            </w:r>
          </w:p>
        </w:tc>
        <w:tc>
          <w:tcPr>
            <w:tcW w:type="dxa" w:w="960"/>
          </w:tcPr>
          <w:p>
            <w:r>
              <w:t>POD-11</w:t>
              <w:br/>
              <w:t>IT dodávateľ</w:t>
            </w:r>
          </w:p>
        </w:tc>
        <w:tc>
          <w:tcPr>
            <w:tcW w:type="dxa" w:w="960"/>
          </w:tcPr>
          <w:p>
            <w:r>
              <w:t>Chyba alebo sabotáž IT pracovníka</w:t>
            </w:r>
          </w:p>
        </w:tc>
        <w:tc>
          <w:tcPr>
            <w:tcW w:type="dxa" w:w="960"/>
          </w:tcPr>
          <w:p>
            <w:r>
              <w:t>Nedostatočná dokumentácia (Z1); chýbajúca politika prístupov (Z3)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C, I, 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0"/>
            <w:shd w:val="clear" w:color="auto" w:fill="FFFF0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R-08</w:t>
            </w:r>
          </w:p>
        </w:tc>
        <w:tc>
          <w:tcPr>
            <w:tcW w:type="dxa" w:w="960"/>
          </w:tcPr>
          <w:p>
            <w:r>
              <w:t>INF-04</w:t>
              <w:br/>
              <w:t>(Logy dispečingu)</w:t>
            </w:r>
          </w:p>
        </w:tc>
        <w:tc>
          <w:tcPr>
            <w:tcW w:type="dxa" w:w="960"/>
          </w:tcPr>
          <w:p>
            <w:r>
              <w:t>POD-11</w:t>
              <w:br/>
              <w:t>IT dodávateľ</w:t>
            </w:r>
          </w:p>
        </w:tc>
        <w:tc>
          <w:tcPr>
            <w:tcW w:type="dxa" w:w="960"/>
          </w:tcPr>
          <w:p>
            <w:r>
              <w:t>Nedostupnosť kľúčového IT personálu</w:t>
            </w:r>
          </w:p>
        </w:tc>
        <w:tc>
          <w:tcPr>
            <w:tcW w:type="dxa" w:w="960"/>
          </w:tcPr>
          <w:p>
            <w:r>
              <w:t>Závislosť na jedinom dodávateľovi (Z1); chýbajúce SLA (Z2)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  <w:shd w:val="clear" w:color="auto" w:fill="FFFF0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R-09</w:t>
            </w:r>
          </w:p>
        </w:tc>
        <w:tc>
          <w:tcPr>
            <w:tcW w:type="dxa" w:w="960"/>
          </w:tcPr>
          <w:p>
            <w:r>
              <w:t>INF-04</w:t>
              <w:br/>
              <w:t>(Logy dispečingu)</w:t>
            </w:r>
          </w:p>
        </w:tc>
        <w:tc>
          <w:tcPr>
            <w:tcW w:type="dxa" w:w="960"/>
          </w:tcPr>
          <w:p>
            <w:r>
              <w:t>POD-15</w:t>
              <w:br/>
              <w:t>Telekom operátor</w:t>
            </w:r>
          </w:p>
        </w:tc>
        <w:tc>
          <w:tcPr>
            <w:tcW w:type="dxa" w:w="960"/>
          </w:tcPr>
          <w:p>
            <w:r>
              <w:t>Výpadok dátových SIM kariet</w:t>
            </w:r>
          </w:p>
        </w:tc>
        <w:tc>
          <w:tcPr>
            <w:tcW w:type="dxa" w:w="960"/>
          </w:tcPr>
          <w:p>
            <w:r>
              <w:t>Neexistencia záložného operátora (Z1); chýbajúce SLA zmluvy (Z2)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0"/>
            <w:shd w:val="clear" w:color="auto" w:fill="FFFF0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R-10</w:t>
            </w:r>
          </w:p>
        </w:tc>
        <w:tc>
          <w:tcPr>
            <w:tcW w:type="dxa" w:w="960"/>
          </w:tcPr>
          <w:p>
            <w:r>
              <w:t>INF-06</w:t>
              <w:br/>
              <w:t>(Osobné údaje zákazníkov)</w:t>
            </w:r>
          </w:p>
        </w:tc>
        <w:tc>
          <w:tcPr>
            <w:tcW w:type="dxa" w:w="960"/>
          </w:tcPr>
          <w:p>
            <w:r>
              <w:t>POD-15</w:t>
              <w:br/>
              <w:t>Telekom operátor</w:t>
            </w:r>
          </w:p>
        </w:tc>
        <w:tc>
          <w:tcPr>
            <w:tcW w:type="dxa" w:w="960"/>
          </w:tcPr>
          <w:p>
            <w:r>
              <w:t>Kybernetický útok na infraštruktúru operátora</w:t>
            </w:r>
          </w:p>
        </w:tc>
        <w:tc>
          <w:tcPr>
            <w:tcW w:type="dxa" w:w="960"/>
          </w:tcPr>
          <w:p>
            <w:r>
              <w:t>Závislosť na externom provideritore; GPS bez lokálneho bufferu (Z3)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C, 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  <w:shd w:val="clear" w:color="auto" w:fill="92D05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R-11</w:t>
            </w:r>
          </w:p>
        </w:tc>
        <w:tc>
          <w:tcPr>
            <w:tcW w:type="dxa" w:w="960"/>
          </w:tcPr>
          <w:p>
            <w:r>
              <w:t>INF-06</w:t>
              <w:br/>
              <w:t>(Osobné údaje zákazníkov)</w:t>
            </w:r>
          </w:p>
        </w:tc>
        <w:tc>
          <w:tcPr>
            <w:tcW w:type="dxa" w:w="960"/>
          </w:tcPr>
          <w:p>
            <w:r>
              <w:t>POD-02</w:t>
              <w:br/>
              <w:t>Dispečerský IS / DB</w:t>
            </w:r>
          </w:p>
        </w:tc>
        <w:tc>
          <w:tcPr>
            <w:tcW w:type="dxa" w:w="960"/>
          </w:tcPr>
          <w:p>
            <w:r>
              <w:t>SQL injection na databázu zákazníkov</w:t>
            </w:r>
          </w:p>
        </w:tc>
        <w:tc>
          <w:tcPr>
            <w:tcW w:type="dxa" w:w="960"/>
          </w:tcPr>
          <w:p>
            <w:r>
              <w:t>Neaktualizovaný softvér (Z1); chýbajúca validácia vstupov; slabá autentizácia (Z4)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  <w:shd w:val="clear" w:color="auto" w:fill="FFC00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R-12</w:t>
            </w:r>
          </w:p>
        </w:tc>
        <w:tc>
          <w:tcPr>
            <w:tcW w:type="dxa" w:w="960"/>
          </w:tcPr>
          <w:p>
            <w:r>
              <w:t>INF-06</w:t>
              <w:br/>
              <w:t>(Osobné údaje zákazníkov)</w:t>
            </w:r>
          </w:p>
        </w:tc>
        <w:tc>
          <w:tcPr>
            <w:tcW w:type="dxa" w:w="960"/>
          </w:tcPr>
          <w:p>
            <w:r>
              <w:t>POD-06</w:t>
              <w:br/>
              <w:t>Servery</w:t>
            </w:r>
          </w:p>
        </w:tc>
        <w:tc>
          <w:tcPr>
            <w:tcW w:type="dxa" w:w="960"/>
          </w:tcPr>
          <w:p>
            <w:r>
              <w:t>Phishing útok na zamestnanca IT</w:t>
            </w:r>
          </w:p>
        </w:tc>
        <w:tc>
          <w:tcPr>
            <w:tcW w:type="dxa" w:w="960"/>
          </w:tcPr>
          <w:p>
            <w:r>
              <w:t>Nedostatočné školenia KB (POD-11 Z4); slabé heslá bez MFA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  <w:shd w:val="clear" w:color="auto" w:fill="FFC000"/>
          </w:tcPr>
          <w:p>
            <w:pPr>
              <w:jc w:val="center"/>
            </w:pPr>
            <w:r>
              <w:t>15</w:t>
            </w:r>
          </w:p>
        </w:tc>
      </w:tr>
    </w:tbl>
    <w:p>
      <w:r>
        <w:t>Legenda: Zelená = nízke riziko (1–5) | Žltá = stredné riziko (6–10) | Oranžová = zvýšené riziko (11–15) | Červená = vysoké riziko (16–25)</w:t>
      </w:r>
    </w:p>
    <w:p>
      <w:pPr>
        <w:pStyle w:val="Heading1"/>
      </w:pPr>
      <w:r>
        <w:t>Úloha 5 – Matica rizík</w:t>
      </w:r>
    </w:p>
    <w:p>
      <w:r>
        <w:t>Matica rizík (5×5) znázorňuje rozloženie identifikovaných rizikových scenárov podľa dopadu a pravdepodobnosti. Farebné pásma zodpovedajú úrovniam rizika: zelená (1–5), žltá (6–10), oranžová (11–15), červená (16–25).</w:t>
      </w:r>
    </w:p>
    <w:p>
      <w:r>
        <w:rPr>
          <w:b/>
        </w:rPr>
        <w:t>Tabuľka 6 – Matica rizík (Dopad × Pravdepodobnosť)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4472C4"/>
          </w:tcPr>
          <w:p>
            <w:r>
              <w:rPr>
                <w:b/>
                <w:color w:val="FFFFFF"/>
              </w:rPr>
              <w:t>Dopad \ Pravd.</w:t>
            </w:r>
          </w:p>
        </w:tc>
        <w:tc>
          <w:tcPr>
            <w:tcW w:type="dxa" w:w="123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  <w:br/>
              <w:t>Veľmi nízka</w:t>
            </w:r>
          </w:p>
        </w:tc>
        <w:tc>
          <w:tcPr>
            <w:tcW w:type="dxa" w:w="123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  <w:br/>
              <w:t>Nízka</w:t>
            </w:r>
          </w:p>
        </w:tc>
        <w:tc>
          <w:tcPr>
            <w:tcW w:type="dxa" w:w="123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3</w:t>
              <w:br/>
              <w:t>Stredná</w:t>
            </w:r>
          </w:p>
        </w:tc>
        <w:tc>
          <w:tcPr>
            <w:tcW w:type="dxa" w:w="123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4</w:t>
              <w:br/>
              <w:t>Vysoká</w:t>
            </w:r>
          </w:p>
        </w:tc>
        <w:tc>
          <w:tcPr>
            <w:tcW w:type="dxa" w:w="123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5</w:t>
              <w:br/>
              <w:t>Veľmi vysoká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5</w:t>
              <w:br/>
              <w:t>Kritický</w:t>
            </w:r>
          </w:p>
        </w:tc>
        <w:tc>
          <w:tcPr>
            <w:tcW w:type="dxa" w:w="1234"/>
            <w:shd w:val="clear" w:color="auto" w:fill="92D05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234"/>
            <w:shd w:val="clear" w:color="auto" w:fill="FFFF00"/>
          </w:tcPr>
          <w:p>
            <w:pPr>
              <w:jc w:val="center"/>
            </w:pPr>
            <w:r>
              <w:t>10</w:t>
              <w:br/>
              <w:t>R-05, R-09</w:t>
            </w:r>
          </w:p>
        </w:tc>
        <w:tc>
          <w:tcPr>
            <w:tcW w:type="dxa" w:w="1234"/>
            <w:shd w:val="clear" w:color="auto" w:fill="FFC000"/>
          </w:tcPr>
          <w:p>
            <w:pPr>
              <w:jc w:val="center"/>
            </w:pPr>
            <w:r>
              <w:t>15</w:t>
              <w:br/>
              <w:t>R-01, R-11, R-12</w:t>
            </w:r>
          </w:p>
        </w:tc>
        <w:tc>
          <w:tcPr>
            <w:tcW w:type="dxa" w:w="1234"/>
            <w:shd w:val="clear" w:color="auto" w:fill="FF000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  <w:shd w:val="clear" w:color="auto" w:fill="FF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4</w:t>
              <w:br/>
              <w:t>Vysoký</w:t>
            </w:r>
          </w:p>
        </w:tc>
        <w:tc>
          <w:tcPr>
            <w:tcW w:type="dxa" w:w="1234"/>
            <w:shd w:val="clear" w:color="auto" w:fill="92D050"/>
          </w:tcPr>
          <w:p>
            <w:pPr>
              <w:jc w:val="center"/>
            </w:pPr>
            <w:r>
              <w:t>4</w:t>
              <w:br/>
              <w:t>R-10</w:t>
            </w:r>
          </w:p>
        </w:tc>
        <w:tc>
          <w:tcPr>
            <w:tcW w:type="dxa" w:w="1234"/>
            <w:shd w:val="clear" w:color="auto" w:fill="FFFF00"/>
          </w:tcPr>
          <w:p>
            <w:pPr>
              <w:jc w:val="center"/>
            </w:pPr>
            <w:r>
              <w:t>8</w:t>
              <w:br/>
              <w:t>R-02, R-07</w:t>
            </w:r>
          </w:p>
        </w:tc>
        <w:tc>
          <w:tcPr>
            <w:tcW w:type="dxa" w:w="1234"/>
            <w:shd w:val="clear" w:color="auto" w:fill="FFC000"/>
          </w:tcPr>
          <w:p>
            <w:pPr>
              <w:jc w:val="center"/>
            </w:pPr>
            <w:r>
              <w:t>12</w:t>
              <w:br/>
              <w:t>R-03</w:t>
            </w:r>
          </w:p>
        </w:tc>
        <w:tc>
          <w:tcPr>
            <w:tcW w:type="dxa" w:w="1234"/>
            <w:shd w:val="clear" w:color="auto" w:fill="FF000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  <w:shd w:val="clear" w:color="auto" w:fill="FF000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3</w:t>
              <w:br/>
              <w:t>Stredný</w:t>
            </w:r>
          </w:p>
        </w:tc>
        <w:tc>
          <w:tcPr>
            <w:tcW w:type="dxa" w:w="1234"/>
            <w:shd w:val="clear" w:color="auto" w:fill="92D05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34"/>
            <w:shd w:val="clear" w:color="auto" w:fill="FFFF00"/>
          </w:tcPr>
          <w:p>
            <w:pPr>
              <w:jc w:val="center"/>
            </w:pPr>
            <w:r>
              <w:t>6</w:t>
              <w:br/>
              <w:t>R-04, R-06</w:t>
            </w:r>
          </w:p>
        </w:tc>
        <w:tc>
          <w:tcPr>
            <w:tcW w:type="dxa" w:w="1234"/>
            <w:shd w:val="clear" w:color="auto" w:fill="FFFF00"/>
          </w:tcPr>
          <w:p>
            <w:pPr>
              <w:jc w:val="center"/>
            </w:pPr>
            <w:r>
              <w:t>9</w:t>
              <w:br/>
              <w:t>R-08</w:t>
            </w:r>
          </w:p>
        </w:tc>
        <w:tc>
          <w:tcPr>
            <w:tcW w:type="dxa" w:w="1234"/>
            <w:shd w:val="clear" w:color="auto" w:fill="FFC00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34"/>
            <w:shd w:val="clear" w:color="auto" w:fill="FFC00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  <w:br/>
              <w:t>Nízky</w:t>
            </w:r>
          </w:p>
        </w:tc>
        <w:tc>
          <w:tcPr>
            <w:tcW w:type="dxa" w:w="1234"/>
            <w:shd w:val="clear" w:color="auto" w:fill="92D05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34"/>
            <w:shd w:val="clear" w:color="auto" w:fill="92D05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234"/>
            <w:shd w:val="clear" w:color="auto" w:fill="FFFF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234"/>
            <w:shd w:val="clear" w:color="auto" w:fill="FFFF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34"/>
            <w:shd w:val="clear" w:color="auto" w:fill="FFFF0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  <w:br/>
              <w:t>Zanedbateľný</w:t>
            </w:r>
          </w:p>
        </w:tc>
        <w:tc>
          <w:tcPr>
            <w:tcW w:type="dxa" w:w="1234"/>
            <w:shd w:val="clear" w:color="auto" w:fill="92D05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34"/>
            <w:shd w:val="clear" w:color="auto" w:fill="92D05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34"/>
            <w:shd w:val="clear" w:color="auto" w:fill="92D05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34"/>
            <w:shd w:val="clear" w:color="auto" w:fill="92D05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234"/>
            <w:shd w:val="clear" w:color="auto" w:fill="92D05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Legenda:</w:t>
            </w:r>
          </w:p>
        </w:tc>
        <w:tc>
          <w:tcPr>
            <w:tcW w:type="dxa" w:w="1234"/>
            <w:shd w:val="clear" w:color="auto" w:fill="92D050"/>
          </w:tcPr>
          <w:p>
            <w:pPr>
              <w:jc w:val="center"/>
            </w:pPr>
            <w:r>
              <w:t>Nízke (1–5)</w:t>
            </w:r>
          </w:p>
        </w:tc>
        <w:tc>
          <w:tcPr>
            <w:tcW w:type="dxa" w:w="1234"/>
            <w:shd w:val="clear" w:color="auto" w:fill="FFFF00"/>
          </w:tcPr>
          <w:p>
            <w:pPr>
              <w:jc w:val="center"/>
            </w:pPr>
            <w:r>
              <w:t>Stredné (6–10)</w:t>
            </w:r>
          </w:p>
        </w:tc>
        <w:tc>
          <w:tcPr>
            <w:tcW w:type="dxa" w:w="1234"/>
            <w:shd w:val="clear" w:color="auto" w:fill="FFC000"/>
          </w:tcPr>
          <w:p>
            <w:pPr>
              <w:jc w:val="center"/>
            </w:pPr>
            <w:r>
              <w:t>Zvýšené (11–15)</w:t>
            </w:r>
          </w:p>
        </w:tc>
        <w:tc>
          <w:tcPr>
            <w:tcW w:type="dxa" w:w="1234"/>
            <w:shd w:val="clear" w:color="auto" w:fill="FF0000"/>
          </w:tcPr>
          <w:p>
            <w:pPr>
              <w:jc w:val="center"/>
            </w:pPr>
            <w:r>
              <w:t>Vysoké (16–25)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t>Identifikované riziká v matici:</w:t>
        <w:br/>
        <w:t>• Vysoké riziko (červená): R-01 (Ransomware na Dispatch IS: 5×3=15 → zvýšené), R-11 (SQL injection: 5×3=15 → zvýšené), R-12 (Phishing: 5×3=15 → zvýšené).</w:t>
        <w:br/>
        <w:t>• Zvýšené riziko (oranžová): R-03 (Výpadok napájania: 4×3=12), R-07 (Sabotáž IT: 4×2=8 – stredné), R-08 (Nedostupnosť IT: 3×3=9 – stredné).</w:t>
        <w:br/>
        <w:t>• Stredné riziko (žltá): R-05 (Výpadok LTE: 5×2=10), R-09 (Výpadok SIM: 5×2=10), R-02 (Insider: 4×2=8), R-04 (Krádež terminálu: 3×2=6).</w:t>
        <w:br/>
        <w:t>• Nízke riziko (zelená): R-06 (MitM GPS: 3×2=6), R-10 (Útok na operátora: 4×1=4).</w:t>
      </w:r>
    </w:p>
    <w:p>
      <w:pPr>
        <w:pStyle w:val="Heading1"/>
      </w:pPr>
      <w:r>
        <w:t>Úloha 6 – Otázky k registru rizík</w:t>
      </w:r>
    </w:p>
    <w:p>
      <w:pPr>
        <w:pStyle w:val="Heading2"/>
      </w:pPr>
      <w:r>
        <w:t>1. Ktoré ďalšie informácie alebo stĺpce by bolo vhodné do tabuľky doplniť?</w:t>
      </w:r>
    </w:p>
    <w:p>
      <w:r>
        <w:t>Register rizík v Tabuľke 5 obsahuje základné prvky (aktívum, hrozba, zraniteľnosť, CIA, dopad, pravdepodobnosť, riziko), no pre praktické riadenie rizík by bolo vhodné doplniť nasledujúce stĺpce:</w:t>
      </w:r>
    </w:p>
    <w:p>
      <w:r>
        <w:rPr>
          <w:b/>
        </w:rPr>
        <w:t xml:space="preserve">• Vlastník rizika: </w:t>
      </w:r>
      <w:r>
        <w:t>Meno alebo rola osoby zodpovednej za konkrétne riziko (napr. IT manažér, dispečer).</w:t>
      </w:r>
    </w:p>
    <w:p>
      <w:r>
        <w:rPr>
          <w:b/>
        </w:rPr>
        <w:t xml:space="preserve">• Existujúce opatrenia: </w:t>
      </w:r>
      <w:r>
        <w:t>Popis bezpečnostných opatrení, ktoré sú už zavedené a zmierňujú toto riziko.</w:t>
      </w:r>
    </w:p>
    <w:p>
      <w:r>
        <w:rPr>
          <w:b/>
        </w:rPr>
        <w:t xml:space="preserve">• Rezidálne riziko: </w:t>
      </w:r>
      <w:r>
        <w:t>Úroveň rizika po zavedení existujúcich opatrení (znížené Dopad alebo Pravdepodobnosť).</w:t>
      </w:r>
    </w:p>
    <w:p>
      <w:r>
        <w:rPr>
          <w:b/>
        </w:rPr>
        <w:t xml:space="preserve">• Navrhované opatrenie: </w:t>
      </w:r>
      <w:r>
        <w:t>Konkrétne odporúčané opatrenie na zníženie rizika (napr. MFA, zálohovanie, SLA zmluva).</w:t>
      </w:r>
    </w:p>
    <w:p>
      <w:r>
        <w:rPr>
          <w:b/>
        </w:rPr>
        <w:t xml:space="preserve">• Priorita riešenia: </w:t>
      </w:r>
      <w:r>
        <w:t>Poradie, v akom by sa malo riziko riešiť (napr. 1 = okamžite, 3 = do 6 mesiacov).</w:t>
      </w:r>
    </w:p>
    <w:p>
      <w:r>
        <w:rPr>
          <w:b/>
        </w:rPr>
        <w:t xml:space="preserve">• Termín realizácie: </w:t>
      </w:r>
      <w:r>
        <w:t>Plánovaný dátum zavedenia opatrenia.</w:t>
      </w:r>
    </w:p>
    <w:p>
      <w:r>
        <w:rPr>
          <w:b/>
        </w:rPr>
        <w:t xml:space="preserve">• Stav rizika: </w:t>
      </w:r>
      <w:r>
        <w:t>Aktuálny stav (identifikované / v riešení / uzavreté / akceptované).</w:t>
      </w:r>
    </w:p>
    <w:p>
      <w:r>
        <w:rPr>
          <w:b/>
        </w:rPr>
        <w:t xml:space="preserve">• Dátum posledného preskúmania: </w:t>
      </w:r>
      <w:r>
        <w:t>Kedy bolo riziko naposledy prehodnotené (dôležité pre pravidelné revízie podľa § 19).</w:t>
      </w:r>
    </w:p>
    <w:p>
      <w:pPr>
        <w:pStyle w:val="Heading2"/>
      </w:pPr>
      <w:r>
        <w:t>2. Prečo by tieto informácie boli pre organizáciu dôležité pri riadení rizík?</w:t>
      </w:r>
    </w:p>
    <w:p>
      <w:r>
        <w:t>Samotné číslo rizika (Dopad × Pravdepodobnosť) iba kvantifikuje hrozbu, ale neposkytuje organizácii návod, ako s ňou naložiť. Stĺpec Vlastník rizika jasne priraďuje zodpovednosť – bez toho riziko zostáva ničie a nie je riadené. Existujúce opatrenia a reziduálne riziko umožňujú vyhnúť sa duplicitným investíciám a presne vidieť, kde medzery skutočne ostávajú. Navrhované opatrenia a termíny realizácie transformujú register z pasívneho dokumentu na aktívny akčný plán. Stav rizika a dátum posledného preskúmania sú nevyhnutné na preukázanie súladu so zákonom č. 69/2018 Z. z. (§ 19 – pravidelné hodnotenie rizík) a pre prípadný audit NBÚ.</w:t>
      </w:r>
    </w:p>
    <w:p>
      <w:pPr>
        <w:pStyle w:val="Heading2"/>
      </w:pPr>
      <w:r>
        <w:t>3. Ako by doplnené informácie pomohli pri prijímaní bezpečnostných opatrení alebo pri riadení bezpečnosti?</w:t>
      </w:r>
    </w:p>
    <w:p>
      <w:r>
        <w:t>Doplnené informácie by transformovali register rizík z analytického nástroja na riadiaci dokument. Konkrétne:</w:t>
      </w:r>
    </w:p>
    <w:p>
      <w:r>
        <w:t>• Vlastník rizika a termín realizácie umožňujú manažmentu SAD Sever sledovať plnenie opatrení na pravidelných bezpečnostných poradách.</w:t>
      </w:r>
    </w:p>
    <w:p>
      <w:r>
        <w:t>• Reziduálne riziko umožňuje správne alokovať rozpočet: ak je riziko po zavedení existujúcich opatrení stále vysoké, je jasné, že je potrebná ďalšia investícia.</w:t>
      </w:r>
    </w:p>
    <w:p>
      <w:r>
        <w:t>• Navrhované opatrenia prepájajú register rizík priamo s § 20 zákona č. 69/2018 Z. z., pretože bezpečnostné opatrenia musia byť primerané identifikovaným rizikám.</w:t>
      </w:r>
    </w:p>
    <w:p>
      <w:r>
        <w:t>• Stav rizika a dátum preskúmania plnia funkciu kontrolného mechanizmu pri internom audite a pri externom dohľade NBÚ – organizácia vie preukázať, že riziká sú kontinuálne sledované.</w:t>
      </w:r>
    </w:p>
    <w:p>
      <w:r>
        <w:t>• Závislosť od tretích strán (napr. telekomunikačný operátor POD-15, IT dodávateľ POD-11) zachytená v stĺpci existujúcich opatrení a vlastníka rizika pomáha identifikovať, kde je potrebné riešiť bezpečnosť dodávateľského reťazca (supply chain risk management).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