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CVIČENIE 2 – SAD Sever, a. s.</w:t>
      </w:r>
    </w:p>
    <w:p>
      <w:pPr>
        <w:jc w:val="center"/>
      </w:pPr>
      <w:r>
        <w:t>Téma: Služba, procesy a aktíva organizácie</w:t>
      </w:r>
    </w:p>
    <w:p>
      <w:pPr>
        <w:jc w:val="center"/>
      </w:pPr>
      <w:r>
        <w:t>Predmet: Kybernetická bezpečnosť  |  Týždeň: 2</w:t>
      </w:r>
    </w:p>
    <w:p>
      <w:pPr>
        <w:pStyle w:val="Heading1"/>
      </w:pPr>
      <w:r>
        <w:t>Krok 1 – Hlavné služby organizácie</w:t>
      </w:r>
    </w:p>
    <w:p>
      <w:r>
        <w:t>SAD Sever, a. s. poskytuje tri typy služieb v oblasti cestnej dopravy. Najdôležitejšou je pravidelná prímestská autobusová doprava, ktorá zabezpečuje mobilitu pre približne 350 000 obyvateľov severnej časti Slovenska. Bez tejto služby by obyvatelia regiónu stratili kľúčovú možnosť dopravy do práce, školy a k službám – priama náhrada neexistuje vo všetkých obsluhovaných obciach. Dopravnú obslužnosť objednávajú samosprávy a VÚC, čím má služba nielen komerčný, ale aj verejnoprospešný charakter.</w:t>
      </w:r>
    </w:p>
    <w:p>
      <w:r>
        <w:rPr>
          <w:b/>
        </w:rPr>
        <w:t>Tabuľka 1 – Hlavné služby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rPr>
              <w:t>ID služby</w:t>
            </w:r>
          </w:p>
        </w:tc>
        <w:tc>
          <w:tcPr>
            <w:tcW w:type="dxa" w:w="2160"/>
            <w:shd w:val="clear" w:color="auto" w:fill="BDD7EE"/>
          </w:tcPr>
          <w:p>
            <w:r>
              <w:rPr>
                <w:b/>
              </w:rPr>
              <w:t>Názov služby</w:t>
            </w:r>
          </w:p>
        </w:tc>
        <w:tc>
          <w:tcPr>
            <w:tcW w:type="dxa" w:w="2160"/>
            <w:shd w:val="clear" w:color="auto" w:fill="BDD7EE"/>
          </w:tcPr>
          <w:p>
            <w:r>
              <w:rPr>
                <w:b/>
              </w:rPr>
              <w:t>Stručný popis / komu je poskytovaná</w:t>
            </w:r>
          </w:p>
        </w:tc>
        <w:tc>
          <w:tcPr>
            <w:tcW w:type="dxa" w:w="2160"/>
            <w:shd w:val="clear" w:color="auto" w:fill="BDD7EE"/>
          </w:tcPr>
          <w:p>
            <w:r>
              <w:rPr>
                <w:b/>
              </w:rPr>
              <w:t>Najdôležitejšia (áno/nie)</w:t>
            </w:r>
          </w:p>
        </w:tc>
      </w:tr>
      <w:tr>
        <w:tc>
          <w:tcPr>
            <w:tcW w:type="dxa" w:w="2160"/>
          </w:tcPr>
          <w:p>
            <w:r>
              <w:t>SL1</w:t>
            </w:r>
          </w:p>
        </w:tc>
        <w:tc>
          <w:tcPr>
            <w:tcW w:type="dxa" w:w="2160"/>
          </w:tcPr>
          <w:p>
            <w:r>
              <w:t>Pravidelná prímestská autobusová doprava</w:t>
            </w:r>
          </w:p>
        </w:tc>
        <w:tc>
          <w:tcPr>
            <w:tcW w:type="dxa" w:w="2160"/>
          </w:tcPr>
          <w:p>
            <w:r>
              <w:t>Poskytovaná obyvateľom regiónu (cca 350 000 osôb – študenti, pracujúci, seniori) v severnej časti SR. Dlhodobý výpadok by znemožnil mobilitu v obciach bez alternatívnej MHD. Čiastočnou náhradou môže byť vlastná doprava alebo taxíky, ale nie pre všetkých.</w:t>
            </w:r>
          </w:p>
        </w:tc>
        <w:tc>
          <w:tcPr>
            <w:tcW w:type="dxa" w:w="2160"/>
          </w:tcPr>
          <w:p>
            <w:r>
              <w:t>áno</w:t>
            </w:r>
          </w:p>
        </w:tc>
      </w:tr>
      <w:tr>
        <w:tc>
          <w:tcPr>
            <w:tcW w:type="dxa" w:w="2160"/>
          </w:tcPr>
          <w:p>
            <w:r>
              <w:t>SL2</w:t>
            </w:r>
          </w:p>
        </w:tc>
        <w:tc>
          <w:tcPr>
            <w:tcW w:type="dxa" w:w="2160"/>
          </w:tcPr>
          <w:p>
            <w:r>
              <w:t>Zmluvná a charterová doprava</w:t>
            </w:r>
          </w:p>
        </w:tc>
        <w:tc>
          <w:tcPr>
            <w:tcW w:type="dxa" w:w="2160"/>
          </w:tcPr>
          <w:p>
            <w:r>
              <w:t>Poskytovaná firmám, školám a iným organizáciám na základe zmluvy. Výpadok má menší verejný dopad, náhrada možná inou dopravnou spoločnosťou.</w:t>
            </w:r>
          </w:p>
        </w:tc>
        <w:tc>
          <w:tcPr>
            <w:tcW w:type="dxa" w:w="2160"/>
          </w:tcPr>
          <w:p>
            <w:r>
              <w:t>nie</w:t>
            </w:r>
          </w:p>
        </w:tc>
      </w:tr>
      <w:tr>
        <w:tc>
          <w:tcPr>
            <w:tcW w:type="dxa" w:w="2160"/>
          </w:tcPr>
          <w:p>
            <w:r>
              <w:t>SL3</w:t>
            </w:r>
          </w:p>
        </w:tc>
        <w:tc>
          <w:tcPr>
            <w:tcW w:type="dxa" w:w="2160"/>
          </w:tcPr>
          <w:p>
            <w:r>
              <w:t>Školské spoje a špeciálne spoje</w:t>
            </w:r>
          </w:p>
        </w:tc>
        <w:tc>
          <w:tcPr>
            <w:tcW w:type="dxa" w:w="2160"/>
          </w:tcPr>
          <w:p>
            <w:r>
              <w:t>Poskytovaná žiakom a študentom, objednávané samosprávami. Výpadok ovplyvní dostupnosť vzdelávania; čiastočná náhrada je možná.</w:t>
            </w:r>
          </w:p>
        </w:tc>
        <w:tc>
          <w:tcPr>
            <w:tcW w:type="dxa" w:w="2160"/>
          </w:tcPr>
          <w:p>
            <w:r>
              <w:t>nie</w:t>
            </w:r>
          </w:p>
        </w:tc>
      </w:tr>
    </w:tbl>
    <w:p>
      <w:pPr>
        <w:pStyle w:val="Heading1"/>
      </w:pPr>
      <w:r>
        <w:t>Krok 2 – Procesy tvoriace najdôležitejšiu službu (SL1)</w:t>
      </w:r>
    </w:p>
    <w:p>
      <w:r>
        <w:t>Pre najdôležitejšiu službu SL1 – Pravidelná prímestská autobusová doprava – identifikujeme päť kľúčových procesov, ktoré ju tvoria. Každý proces predstavuje súbor činností priamo podmieňujúcich poskytovanie tejto služby.</w:t>
      </w:r>
    </w:p>
    <w:p>
      <w:r>
        <w:rPr>
          <w:b/>
        </w:rPr>
        <w:t>Tabuľka 2 – Procesy tvoriace službu SL1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rPr>
              <w:t>ID procesu</w:t>
            </w:r>
          </w:p>
        </w:tc>
        <w:tc>
          <w:tcPr>
            <w:tcW w:type="dxa" w:w="2880"/>
            <w:shd w:val="clear" w:color="auto" w:fill="BDD7EE"/>
          </w:tcPr>
          <w:p>
            <w:r>
              <w:rPr>
                <w:b/>
              </w:rPr>
              <w:t>Názov procesu</w:t>
            </w:r>
          </w:p>
        </w:tc>
        <w:tc>
          <w:tcPr>
            <w:tcW w:type="dxa" w:w="2880"/>
            <w:shd w:val="clear" w:color="auto" w:fill="BDD7EE"/>
          </w:tcPr>
          <w:p>
            <w:r>
              <w:rPr>
                <w:b/>
              </w:rPr>
              <w:t>Úloha procesu pri poskytovaní služby</w:t>
            </w:r>
          </w:p>
        </w:tc>
      </w:tr>
      <w:tr>
        <w:tc>
          <w:tcPr>
            <w:tcW w:type="dxa" w:w="2880"/>
          </w:tcPr>
          <w:p>
            <w:r>
              <w:t>P1</w:t>
            </w:r>
          </w:p>
        </w:tc>
        <w:tc>
          <w:tcPr>
            <w:tcW w:type="dxa" w:w="2880"/>
          </w:tcPr>
          <w:p>
            <w:r>
              <w:t>Poskytovanie autobusovej dopravy</w:t>
            </w:r>
          </w:p>
        </w:tc>
        <w:tc>
          <w:tcPr>
            <w:tcW w:type="dxa" w:w="2880"/>
          </w:tcPr>
          <w:p>
            <w:r>
              <w:t>Základný prevádzkový proces – vodiči realizujú jazdy podľa schválených cestovných poriadkov. Zabezpečuje fyzické prepravenie cestujúcich z východiskovej do cieľovej zastávky. Bez tohto procesu nie je možné poskytovať žiadnu časť služby SL1.</w:t>
            </w:r>
          </w:p>
        </w:tc>
      </w:tr>
      <w:tr>
        <w:tc>
          <w:tcPr>
            <w:tcW w:type="dxa" w:w="2880"/>
          </w:tcPr>
          <w:p>
            <w:r>
              <w:t>P2</w:t>
            </w:r>
          </w:p>
        </w:tc>
        <w:tc>
          <w:tcPr>
            <w:tcW w:type="dxa" w:w="2880"/>
          </w:tcPr>
          <w:p>
            <w:r>
              <w:t>Riadenie prevádzky (dispečing)</w:t>
            </w:r>
          </w:p>
        </w:tc>
        <w:tc>
          <w:tcPr>
            <w:tcW w:type="dxa" w:w="2880"/>
          </w:tcPr>
          <w:p>
            <w:r>
              <w:t>Dispečeri monitorujú polohu vozidiel v reálnom čase, koordinujú odchody a reagujú na mimoriadne situácie (porucha, nehoda, meškanie). Proces zaručuje koordinovanosť jázd a bezpečnosť prevádzky. Výpadok dispečingu vedie k nekontrolovanej prevádzke a ohrozeniu cestujúcich.</w:t>
            </w:r>
          </w:p>
        </w:tc>
      </w:tr>
      <w:tr>
        <w:tc>
          <w:tcPr>
            <w:tcW w:type="dxa" w:w="2880"/>
          </w:tcPr>
          <w:p>
            <w:r>
              <w:t>P3</w:t>
            </w:r>
          </w:p>
        </w:tc>
        <w:tc>
          <w:tcPr>
            <w:tcW w:type="dxa" w:w="2880"/>
          </w:tcPr>
          <w:p>
            <w:r>
              <w:t>Údržba vozidiel</w:t>
            </w:r>
          </w:p>
        </w:tc>
        <w:tc>
          <w:tcPr>
            <w:tcW w:type="dxa" w:w="2880"/>
          </w:tcPr>
          <w:p>
            <w:r>
              <w:t>Technická údržba a opravy autobusov zaručujú technickú spôsobilosť vozového parku. Pravidelné servisné prehliadky a opravy porúch udržiavajú vozidlá v prevádzkyschopnom stave. Zlyhanie tohto procesu by znížilo počet dostupných vozidiel a ohrozilo bezpečnosť prevádzky.</w:t>
            </w:r>
          </w:p>
        </w:tc>
      </w:tr>
      <w:tr>
        <w:tc>
          <w:tcPr>
            <w:tcW w:type="dxa" w:w="2880"/>
          </w:tcPr>
          <w:p>
            <w:r>
              <w:t>P4</w:t>
            </w:r>
          </w:p>
        </w:tc>
        <w:tc>
          <w:tcPr>
            <w:tcW w:type="dxa" w:w="2880"/>
          </w:tcPr>
          <w:p>
            <w:r>
              <w:t>Predaj a evidencia cestovných lístkov</w:t>
            </w:r>
          </w:p>
        </w:tc>
        <w:tc>
          <w:tcPr>
            <w:tcW w:type="dxa" w:w="2880"/>
          </w:tcPr>
          <w:p>
            <w:r>
              <w:t>Zabezpečuje predaj cestovných lístkov na zastávkach, v autobusoch a online. Eviduje tržby, platby a štatistiku prepravených cestujúcich. Výpadok ovplyvní príjmy a schopnosť kontrolovať oprávnenosť cestujúcich.</w:t>
            </w:r>
          </w:p>
        </w:tc>
      </w:tr>
      <w:tr>
        <w:tc>
          <w:tcPr>
            <w:tcW w:type="dxa" w:w="2880"/>
          </w:tcPr>
          <w:p>
            <w:r>
              <w:t>P5</w:t>
            </w:r>
          </w:p>
        </w:tc>
        <w:tc>
          <w:tcPr>
            <w:tcW w:type="dxa" w:w="2880"/>
          </w:tcPr>
          <w:p>
            <w:r>
              <w:t>Plánovanie trás a grafikonu</w:t>
            </w:r>
          </w:p>
        </w:tc>
        <w:tc>
          <w:tcPr>
            <w:tcW w:type="dxa" w:w="2880"/>
          </w:tcPr>
          <w:p>
            <w:r>
              <w:t>Analytický a plánovací proces, pri ktorom sa navrhujú a optimalizujú trasy, frekvencie jázd a grafikón prevádzky. Výstupom sú schválené cestovné poriadky predkladané regulátorovi. Priamo podmieňuje efektivitu a dosah celej služby SL1.</w:t>
            </w:r>
          </w:p>
        </w:tc>
      </w:tr>
    </w:tbl>
    <w:p>
      <w:pPr>
        <w:pStyle w:val="Heading1"/>
      </w:pPr>
      <w:r>
        <w:t>Krok 3 – Informácie, s ktorými procesy pracujú</w:t>
      </w:r>
    </w:p>
    <w:p>
      <w:r>
        <w:t>Pre každý proces identifikujeme typy informácií (nie systémov), bez ktorých by procesy nemohli fungovať správne. Identifikovaných je minimálne šesť typov informačných aktív.</w:t>
      </w:r>
    </w:p>
    <w:p>
      <w:r>
        <w:rPr>
          <w:b/>
        </w:rPr>
        <w:t>Tabuľka 3 – Informácie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rPr>
              <w:t>ID INF</w:t>
            </w:r>
          </w:p>
        </w:tc>
        <w:tc>
          <w:tcPr>
            <w:tcW w:type="dxa" w:w="2160"/>
            <w:shd w:val="clear" w:color="auto" w:fill="BDD7EE"/>
          </w:tcPr>
          <w:p>
            <w:r>
              <w:rPr>
                <w:b/>
              </w:rPr>
              <w:t>Názov informácie / dát</w:t>
            </w:r>
          </w:p>
        </w:tc>
        <w:tc>
          <w:tcPr>
            <w:tcW w:type="dxa" w:w="2160"/>
            <w:shd w:val="clear" w:color="auto" w:fill="BDD7EE"/>
          </w:tcPr>
          <w:p>
            <w:r>
              <w:rPr>
                <w:b/>
              </w:rPr>
              <w:t>Proces (ID)</w:t>
            </w:r>
          </w:p>
        </w:tc>
        <w:tc>
          <w:tcPr>
            <w:tcW w:type="dxa" w:w="2160"/>
            <w:shd w:val="clear" w:color="auto" w:fill="BDD7EE"/>
          </w:tcPr>
          <w:p>
            <w:r>
              <w:rPr>
                <w:b/>
              </w:rPr>
              <w:t>Stručný opis</w:t>
            </w:r>
          </w:p>
        </w:tc>
      </w:tr>
      <w:tr>
        <w:tc>
          <w:tcPr>
            <w:tcW w:type="dxa" w:w="2160"/>
          </w:tcPr>
          <w:p>
            <w:r>
              <w:t>INF-01</w:t>
            </w:r>
          </w:p>
        </w:tc>
        <w:tc>
          <w:tcPr>
            <w:tcW w:type="dxa" w:w="2160"/>
          </w:tcPr>
          <w:p>
            <w:r>
              <w:t>Cestovné poriadky a trasové dáta</w:t>
            </w:r>
          </w:p>
        </w:tc>
        <w:tc>
          <w:tcPr>
            <w:tcW w:type="dxa" w:w="2160"/>
          </w:tcPr>
          <w:p>
            <w:r>
              <w:t>P1, P5</w:t>
            </w:r>
          </w:p>
        </w:tc>
        <w:tc>
          <w:tcPr>
            <w:tcW w:type="dxa" w:w="2160"/>
          </w:tcPr>
          <w:p>
            <w:r>
              <w:t>Schválené grafikóny jázd, trasy liniek, časy odchodov a príchodov na zastávkach. Základný operačný podklad pre realizáciu jázd a plánovanie.</w:t>
            </w:r>
          </w:p>
        </w:tc>
      </w:tr>
      <w:tr>
        <w:tc>
          <w:tcPr>
            <w:tcW w:type="dxa" w:w="2160"/>
          </w:tcPr>
          <w:p>
            <w:r>
              <w:t>INF-02</w:t>
            </w:r>
          </w:p>
        </w:tc>
        <w:tc>
          <w:tcPr>
            <w:tcW w:type="dxa" w:w="2160"/>
          </w:tcPr>
          <w:p>
            <w:r>
              <w:t>Evidencia cestujúcich a predané lístky</w:t>
            </w:r>
          </w:p>
        </w:tc>
        <w:tc>
          <w:tcPr>
            <w:tcW w:type="dxa" w:w="2160"/>
          </w:tcPr>
          <w:p>
            <w:r>
              <w:t>P4</w:t>
            </w:r>
          </w:p>
        </w:tc>
        <w:tc>
          <w:tcPr>
            <w:tcW w:type="dxa" w:w="2160"/>
          </w:tcPr>
          <w:p>
            <w:r>
              <w:t>Záznamy o predaných lístkoch, využívaných trasách, štatistiky prepravených osôb. Slúžia na fakturáciu, reporting samosprávam a optimalizáciu.</w:t>
            </w:r>
          </w:p>
        </w:tc>
      </w:tr>
      <w:tr>
        <w:tc>
          <w:tcPr>
            <w:tcW w:type="dxa" w:w="2160"/>
          </w:tcPr>
          <w:p>
            <w:r>
              <w:t>INF-03</w:t>
            </w:r>
          </w:p>
        </w:tc>
        <w:tc>
          <w:tcPr>
            <w:tcW w:type="dxa" w:w="2160"/>
          </w:tcPr>
          <w:p>
            <w:r>
              <w:t>Technická dokumentácia a záznamy o vozidlách</w:t>
            </w:r>
          </w:p>
        </w:tc>
        <w:tc>
          <w:tcPr>
            <w:tcW w:type="dxa" w:w="2160"/>
          </w:tcPr>
          <w:p>
            <w:r>
              <w:t>P3</w:t>
            </w:r>
          </w:p>
        </w:tc>
        <w:tc>
          <w:tcPr>
            <w:tcW w:type="dxa" w:w="2160"/>
          </w:tcPr>
          <w:p>
            <w:r>
              <w:t>Servisné knihy autobusov, záznamy o opravách, STK platnosti, technické parametre vozidiel. Nevyhnutné pre udržanie technickej spôsobilosti vozového parku.</w:t>
            </w:r>
          </w:p>
        </w:tc>
      </w:tr>
      <w:tr>
        <w:tc>
          <w:tcPr>
            <w:tcW w:type="dxa" w:w="2160"/>
          </w:tcPr>
          <w:p>
            <w:r>
              <w:t>INF-04</w:t>
            </w:r>
          </w:p>
        </w:tc>
        <w:tc>
          <w:tcPr>
            <w:tcW w:type="dxa" w:w="2160"/>
          </w:tcPr>
          <w:p>
            <w:r>
              <w:t>Prevádzkové záznamy a logy dispečingu</w:t>
            </w:r>
          </w:p>
        </w:tc>
        <w:tc>
          <w:tcPr>
            <w:tcW w:type="dxa" w:w="2160"/>
          </w:tcPr>
          <w:p>
            <w:r>
              <w:t>P2</w:t>
            </w:r>
          </w:p>
        </w:tc>
        <w:tc>
          <w:tcPr>
            <w:tcW w:type="dxa" w:w="2160"/>
          </w:tcPr>
          <w:p>
            <w:r>
              <w:t>GPS polohy vozidiel, záznamy o incidentoch, komunikácia medzi dispečermi a vodičmi. Zabezpečujú prehľad o aktuálnom stave prevádzky v reálnom čase.</w:t>
            </w:r>
          </w:p>
        </w:tc>
      </w:tr>
      <w:tr>
        <w:tc>
          <w:tcPr>
            <w:tcW w:type="dxa" w:w="2160"/>
          </w:tcPr>
          <w:p>
            <w:r>
              <w:t>INF-05</w:t>
            </w:r>
          </w:p>
        </w:tc>
        <w:tc>
          <w:tcPr>
            <w:tcW w:type="dxa" w:w="2160"/>
          </w:tcPr>
          <w:p>
            <w:r>
              <w:t>Zmluvy o dopravnej obslužnosti</w:t>
            </w:r>
          </w:p>
        </w:tc>
        <w:tc>
          <w:tcPr>
            <w:tcW w:type="dxa" w:w="2160"/>
          </w:tcPr>
          <w:p>
            <w:r>
              <w:t>P1, P5</w:t>
            </w:r>
          </w:p>
        </w:tc>
        <w:tc>
          <w:tcPr>
            <w:tcW w:type="dxa" w:w="2160"/>
          </w:tcPr>
          <w:p>
            <w:r>
              <w:t>Zmluvy so samosprávami a VÚC o objednávke liniek, podmienky poskytovania dotácií. Právny základ pre prevádzkovanie konkrétnych liniek.</w:t>
            </w:r>
          </w:p>
        </w:tc>
      </w:tr>
      <w:tr>
        <w:tc>
          <w:tcPr>
            <w:tcW w:type="dxa" w:w="2160"/>
          </w:tcPr>
          <w:p>
            <w:r>
              <w:t>INF-06</w:t>
            </w:r>
          </w:p>
        </w:tc>
        <w:tc>
          <w:tcPr>
            <w:tcW w:type="dxa" w:w="2160"/>
          </w:tcPr>
          <w:p>
            <w:r>
              <w:t>Osobné a platobné údaje zákazníkov</w:t>
            </w:r>
          </w:p>
        </w:tc>
        <w:tc>
          <w:tcPr>
            <w:tcW w:type="dxa" w:w="2160"/>
          </w:tcPr>
          <w:p>
            <w:r>
              <w:t>P4</w:t>
            </w:r>
          </w:p>
        </w:tc>
        <w:tc>
          <w:tcPr>
            <w:tcW w:type="dxa" w:w="2160"/>
          </w:tcPr>
          <w:p>
            <w:r>
              <w:t>Mená, e-mailové adresy, platobné údaje zákazníkov registrovaných na zľavové karty a online predaj. Sú predmetom ochrany podľa GDPR.</w:t>
            </w:r>
          </w:p>
        </w:tc>
      </w:tr>
      <w:tr>
        <w:tc>
          <w:tcPr>
            <w:tcW w:type="dxa" w:w="2160"/>
          </w:tcPr>
          <w:p>
            <w:r>
              <w:t>INF-07</w:t>
            </w:r>
          </w:p>
        </w:tc>
        <w:tc>
          <w:tcPr>
            <w:tcW w:type="dxa" w:w="2160"/>
          </w:tcPr>
          <w:p>
            <w:r>
              <w:t>Plány a grafikóny údržby</w:t>
            </w:r>
          </w:p>
        </w:tc>
        <w:tc>
          <w:tcPr>
            <w:tcW w:type="dxa" w:w="2160"/>
          </w:tcPr>
          <w:p>
            <w:r>
              <w:t>P3, P5</w:t>
            </w:r>
          </w:p>
        </w:tc>
        <w:tc>
          <w:tcPr>
            <w:tcW w:type="dxa" w:w="2160"/>
          </w:tcPr>
          <w:p>
            <w:r>
              <w:t>Harmonogramy pravidelných servisných prehliadok, plány nasadenia vozidiel. Podmieňujú dostupnosť vozového parku pre konkrétne linky.</w:t>
            </w:r>
          </w:p>
        </w:tc>
      </w:tr>
    </w:tbl>
    <w:p>
      <w:pPr>
        <w:pStyle w:val="Heading1"/>
      </w:pPr>
      <w:r>
        <w:t>Krok 4 – Podporné prostriedky</w:t>
      </w:r>
    </w:p>
    <w:p>
      <w:r>
        <w:t>Pre každý proces identifikujeme podporné aktíva – to, na čom sú procesy a informácie závislé (informačné systémy, hardvér, ľudia, priestory, externí dodávatelia).</w:t>
      </w:r>
    </w:p>
    <w:p>
      <w:r>
        <w:rPr>
          <w:b/>
        </w:rPr>
        <w:t>Tabuľka 4 – Podporné prostriedky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BDD7EE"/>
          </w:tcPr>
          <w:p>
            <w:r>
              <w:rPr>
                <w:b/>
              </w:rPr>
              <w:t>ID POD</w:t>
            </w:r>
          </w:p>
        </w:tc>
        <w:tc>
          <w:tcPr>
            <w:tcW w:type="dxa" w:w="1728"/>
            <w:shd w:val="clear" w:color="auto" w:fill="BDD7EE"/>
          </w:tcPr>
          <w:p>
            <w:r>
              <w:rPr>
                <w:b/>
              </w:rPr>
              <w:t>Kategória</w:t>
            </w:r>
          </w:p>
        </w:tc>
        <w:tc>
          <w:tcPr>
            <w:tcW w:type="dxa" w:w="1728"/>
            <w:shd w:val="clear" w:color="auto" w:fill="BDD7EE"/>
          </w:tcPr>
          <w:p>
            <w:r>
              <w:rPr>
                <w:b/>
              </w:rPr>
              <w:t>Názov / rola / služba</w:t>
            </w:r>
          </w:p>
        </w:tc>
        <w:tc>
          <w:tcPr>
            <w:tcW w:type="dxa" w:w="1728"/>
            <w:shd w:val="clear" w:color="auto" w:fill="BDD7EE"/>
          </w:tcPr>
          <w:p>
            <w:r>
              <w:rPr>
                <w:b/>
              </w:rPr>
              <w:t>Podporovaný proces (ID)</w:t>
            </w:r>
          </w:p>
        </w:tc>
        <w:tc>
          <w:tcPr>
            <w:tcW w:type="dxa" w:w="1728"/>
            <w:shd w:val="clear" w:color="auto" w:fill="BDD7EE"/>
          </w:tcPr>
          <w:p>
            <w:r>
              <w:rPr>
                <w:b/>
              </w:rPr>
              <w:t>Stručný opis úlohy</w:t>
            </w:r>
          </w:p>
        </w:tc>
      </w:tr>
      <w:tr>
        <w:tc>
          <w:tcPr>
            <w:tcW w:type="dxa" w:w="1728"/>
          </w:tcPr>
          <w:p>
            <w:r>
              <w:t>POD-01</w:t>
            </w:r>
          </w:p>
        </w:tc>
        <w:tc>
          <w:tcPr>
            <w:tcW w:type="dxa" w:w="1728"/>
          </w:tcPr>
          <w:p>
            <w:r>
              <w:t>Informačný systém</w:t>
            </w:r>
          </w:p>
        </w:tc>
        <w:tc>
          <w:tcPr>
            <w:tcW w:type="dxa" w:w="1728"/>
          </w:tcPr>
          <w:p>
            <w:r>
              <w:t>Systém predaja cestovných lístkov (e-shop, pokladne)</w:t>
            </w:r>
          </w:p>
        </w:tc>
        <w:tc>
          <w:tcPr>
            <w:tcW w:type="dxa" w:w="1728"/>
          </w:tcPr>
          <w:p>
            <w:r>
              <w:t>P4</w:t>
            </w:r>
          </w:p>
        </w:tc>
        <w:tc>
          <w:tcPr>
            <w:tcW w:type="dxa" w:w="1728"/>
          </w:tcPr>
          <w:p>
            <w:r>
              <w:t>Zabezpečuje elektronický a hotovostný predaj lístkov, evidenciu tržieb.</w:t>
            </w:r>
          </w:p>
        </w:tc>
      </w:tr>
      <w:tr>
        <w:tc>
          <w:tcPr>
            <w:tcW w:type="dxa" w:w="1728"/>
          </w:tcPr>
          <w:p>
            <w:r>
              <w:t>POD-02</w:t>
            </w:r>
          </w:p>
        </w:tc>
        <w:tc>
          <w:tcPr>
            <w:tcW w:type="dxa" w:w="1728"/>
          </w:tcPr>
          <w:p>
            <w:r>
              <w:t>Informačný systém</w:t>
            </w:r>
          </w:p>
        </w:tc>
        <w:tc>
          <w:tcPr>
            <w:tcW w:type="dxa" w:w="1728"/>
          </w:tcPr>
          <w:p>
            <w:r>
              <w:t>Dispečerský informačný systém (GPS monitoring)</w:t>
            </w:r>
          </w:p>
        </w:tc>
        <w:tc>
          <w:tcPr>
            <w:tcW w:type="dxa" w:w="1728"/>
          </w:tcPr>
          <w:p>
            <w:r>
              <w:t>P2</w:t>
            </w:r>
          </w:p>
        </w:tc>
        <w:tc>
          <w:tcPr>
            <w:tcW w:type="dxa" w:w="1728"/>
          </w:tcPr>
          <w:p>
            <w:r>
              <w:t>Sledovanie polohy vozidiel v reálnom čase, komunikácia s vodičmi.</w:t>
            </w:r>
          </w:p>
        </w:tc>
      </w:tr>
      <w:tr>
        <w:tc>
          <w:tcPr>
            <w:tcW w:type="dxa" w:w="1728"/>
          </w:tcPr>
          <w:p>
            <w:r>
              <w:t>POD-03</w:t>
            </w:r>
          </w:p>
        </w:tc>
        <w:tc>
          <w:tcPr>
            <w:tcW w:type="dxa" w:w="1728"/>
          </w:tcPr>
          <w:p>
            <w:r>
              <w:t>Informačný systém</w:t>
            </w:r>
          </w:p>
        </w:tc>
        <w:tc>
          <w:tcPr>
            <w:tcW w:type="dxa" w:w="1728"/>
          </w:tcPr>
          <w:p>
            <w:r>
              <w:t>IS pre plánovaní grafikónu a trás</w:t>
            </w:r>
          </w:p>
        </w:tc>
        <w:tc>
          <w:tcPr>
            <w:tcW w:type="dxa" w:w="1728"/>
          </w:tcPr>
          <w:p>
            <w:r>
              <w:t>P5</w:t>
            </w:r>
          </w:p>
        </w:tc>
        <w:tc>
          <w:tcPr>
            <w:tcW w:type="dxa" w:w="1728"/>
          </w:tcPr>
          <w:p>
            <w:r>
              <w:t>Plánovanie a optimalizácia cestovných poriadkov, export do verejných databáz.</w:t>
            </w:r>
          </w:p>
        </w:tc>
      </w:tr>
      <w:tr>
        <w:tc>
          <w:tcPr>
            <w:tcW w:type="dxa" w:w="1728"/>
          </w:tcPr>
          <w:p>
            <w:r>
              <w:t>POD-04</w:t>
            </w:r>
          </w:p>
        </w:tc>
        <w:tc>
          <w:tcPr>
            <w:tcW w:type="dxa" w:w="1728"/>
          </w:tcPr>
          <w:p>
            <w:r>
              <w:t>Informačný systém</w:t>
            </w:r>
          </w:p>
        </w:tc>
        <w:tc>
          <w:tcPr>
            <w:tcW w:type="dxa" w:w="1728"/>
          </w:tcPr>
          <w:p>
            <w:r>
              <w:t>IS technickej správy vozidiel (CMMS)</w:t>
            </w:r>
          </w:p>
        </w:tc>
        <w:tc>
          <w:tcPr>
            <w:tcW w:type="dxa" w:w="1728"/>
          </w:tcPr>
          <w:p>
            <w:r>
              <w:t>P3</w:t>
            </w:r>
          </w:p>
        </w:tc>
        <w:tc>
          <w:tcPr>
            <w:tcW w:type="dxa" w:w="1728"/>
          </w:tcPr>
          <w:p>
            <w:r>
              <w:t>Evidencia servisných záznamov, plánovanie opráv, sledovanie technickej spôsobilosti.</w:t>
            </w:r>
          </w:p>
        </w:tc>
      </w:tr>
      <w:tr>
        <w:tc>
          <w:tcPr>
            <w:tcW w:type="dxa" w:w="1728"/>
          </w:tcPr>
          <w:p>
            <w:r>
              <w:t>POD-05</w:t>
            </w:r>
          </w:p>
        </w:tc>
        <w:tc>
          <w:tcPr>
            <w:tcW w:type="dxa" w:w="1728"/>
          </w:tcPr>
          <w:p>
            <w:r>
              <w:t>Hardvér / zariadenie</w:t>
            </w:r>
          </w:p>
        </w:tc>
        <w:tc>
          <w:tcPr>
            <w:tcW w:type="dxa" w:w="1728"/>
          </w:tcPr>
          <w:p>
            <w:r>
              <w:t>Vozový park (autobusy)</w:t>
            </w:r>
          </w:p>
        </w:tc>
        <w:tc>
          <w:tcPr>
            <w:tcW w:type="dxa" w:w="1728"/>
          </w:tcPr>
          <w:p>
            <w:r>
              <w:t>P1, P3</w:t>
            </w:r>
          </w:p>
        </w:tc>
        <w:tc>
          <w:tcPr>
            <w:tcW w:type="dxa" w:w="1728"/>
          </w:tcPr>
          <w:p>
            <w:r>
              <w:t>Fyzické dopravné prostriedky – priamo podmieňujú realizáciu prepravy.</w:t>
            </w:r>
          </w:p>
        </w:tc>
      </w:tr>
      <w:tr>
        <w:tc>
          <w:tcPr>
            <w:tcW w:type="dxa" w:w="1728"/>
          </w:tcPr>
          <w:p>
            <w:r>
              <w:t>POD-06</w:t>
            </w:r>
          </w:p>
        </w:tc>
        <w:tc>
          <w:tcPr>
            <w:tcW w:type="dxa" w:w="1728"/>
          </w:tcPr>
          <w:p>
            <w:r>
              <w:t>Hardvér / zariadenie</w:t>
            </w:r>
          </w:p>
        </w:tc>
        <w:tc>
          <w:tcPr>
            <w:tcW w:type="dxa" w:w="1728"/>
          </w:tcPr>
          <w:p>
            <w:r>
              <w:t>Servery, pracovné stanice, pokladničné terminály</w:t>
            </w:r>
          </w:p>
        </w:tc>
        <w:tc>
          <w:tcPr>
            <w:tcW w:type="dxa" w:w="1728"/>
          </w:tcPr>
          <w:p>
            <w:r>
              <w:t>P2, P4</w:t>
            </w:r>
          </w:p>
        </w:tc>
        <w:tc>
          <w:tcPr>
            <w:tcW w:type="dxa" w:w="1728"/>
          </w:tcPr>
          <w:p>
            <w:r>
              <w:t>IT infraštruktúra podporujúca IS a komunikáciu.</w:t>
            </w:r>
          </w:p>
        </w:tc>
      </w:tr>
      <w:tr>
        <w:tc>
          <w:tcPr>
            <w:tcW w:type="dxa" w:w="1728"/>
          </w:tcPr>
          <w:p>
            <w:r>
              <w:t>POD-07</w:t>
            </w:r>
          </w:p>
        </w:tc>
        <w:tc>
          <w:tcPr>
            <w:tcW w:type="dxa" w:w="1728"/>
          </w:tcPr>
          <w:p>
            <w:r>
              <w:t>Sieť / konektivita</w:t>
            </w:r>
          </w:p>
        </w:tc>
        <w:tc>
          <w:tcPr>
            <w:tcW w:type="dxa" w:w="1728"/>
          </w:tcPr>
          <w:p>
            <w:r>
              <w:t>Mobilná datová sieť (LTE/4G telekomunikačného operátora)</w:t>
            </w:r>
          </w:p>
        </w:tc>
        <w:tc>
          <w:tcPr>
            <w:tcW w:type="dxa" w:w="1728"/>
          </w:tcPr>
          <w:p>
            <w:r>
              <w:t>P2, P4</w:t>
            </w:r>
          </w:p>
        </w:tc>
        <w:tc>
          <w:tcPr>
            <w:tcW w:type="dxa" w:w="1728"/>
          </w:tcPr>
          <w:p>
            <w:r>
              <w:t>Prenáša GPS dáta z vozidiel do dispečingu a umožňuje online predaj lístkov.</w:t>
            </w:r>
          </w:p>
        </w:tc>
      </w:tr>
      <w:tr>
        <w:tc>
          <w:tcPr>
            <w:tcW w:type="dxa" w:w="1728"/>
          </w:tcPr>
          <w:p>
            <w:r>
              <w:t>POD-08</w:t>
            </w:r>
          </w:p>
        </w:tc>
        <w:tc>
          <w:tcPr>
            <w:tcW w:type="dxa" w:w="1728"/>
          </w:tcPr>
          <w:p>
            <w:r>
              <w:t>Rola / tím</w:t>
            </w:r>
          </w:p>
        </w:tc>
        <w:tc>
          <w:tcPr>
            <w:tcW w:type="dxa" w:w="1728"/>
          </w:tcPr>
          <w:p>
            <w:r>
              <w:t>Vodiči autobusov</w:t>
            </w:r>
          </w:p>
        </w:tc>
        <w:tc>
          <w:tcPr>
            <w:tcW w:type="dxa" w:w="1728"/>
          </w:tcPr>
          <w:p>
            <w:r>
              <w:t>P1</w:t>
            </w:r>
          </w:p>
        </w:tc>
        <w:tc>
          <w:tcPr>
            <w:tcW w:type="dxa" w:w="1728"/>
          </w:tcPr>
          <w:p>
            <w:r>
              <w:t>Priamo zabezpečujú prepravný výkon – ich výpadok zastaví celý P1.</w:t>
            </w:r>
          </w:p>
        </w:tc>
      </w:tr>
      <w:tr>
        <w:tc>
          <w:tcPr>
            <w:tcW w:type="dxa" w:w="1728"/>
          </w:tcPr>
          <w:p>
            <w:r>
              <w:t>POD-09</w:t>
            </w:r>
          </w:p>
        </w:tc>
        <w:tc>
          <w:tcPr>
            <w:tcW w:type="dxa" w:w="1728"/>
          </w:tcPr>
          <w:p>
            <w:r>
              <w:t>Rola / tím</w:t>
            </w:r>
          </w:p>
        </w:tc>
        <w:tc>
          <w:tcPr>
            <w:tcW w:type="dxa" w:w="1728"/>
          </w:tcPr>
          <w:p>
            <w:r>
              <w:t>Dispečeri</w:t>
            </w:r>
          </w:p>
        </w:tc>
        <w:tc>
          <w:tcPr>
            <w:tcW w:type="dxa" w:w="1728"/>
          </w:tcPr>
          <w:p>
            <w:r>
              <w:t>P2</w:t>
            </w:r>
          </w:p>
        </w:tc>
        <w:tc>
          <w:tcPr>
            <w:tcW w:type="dxa" w:w="1728"/>
          </w:tcPr>
          <w:p>
            <w:r>
              <w:t>Riadiaci personál monitorujúci prevádzku a riešiaci mimoriadne udalosti.</w:t>
            </w:r>
          </w:p>
        </w:tc>
      </w:tr>
      <w:tr>
        <w:tc>
          <w:tcPr>
            <w:tcW w:type="dxa" w:w="1728"/>
          </w:tcPr>
          <w:p>
            <w:r>
              <w:t>POD-10</w:t>
            </w:r>
          </w:p>
        </w:tc>
        <w:tc>
          <w:tcPr>
            <w:tcW w:type="dxa" w:w="1728"/>
          </w:tcPr>
          <w:p>
            <w:r>
              <w:t>Rola / tím</w:t>
            </w:r>
          </w:p>
        </w:tc>
        <w:tc>
          <w:tcPr>
            <w:tcW w:type="dxa" w:w="1728"/>
          </w:tcPr>
          <w:p>
            <w:r>
              <w:t>Technici / mechanici</w:t>
            </w:r>
          </w:p>
        </w:tc>
        <w:tc>
          <w:tcPr>
            <w:tcW w:type="dxa" w:w="1728"/>
          </w:tcPr>
          <w:p>
            <w:r>
              <w:t>P3</w:t>
            </w:r>
          </w:p>
        </w:tc>
        <w:tc>
          <w:tcPr>
            <w:tcW w:type="dxa" w:w="1728"/>
          </w:tcPr>
          <w:p>
            <w:r>
              <w:t>Vykonávajú opravy a preventívnu údržbu vozidiel.</w:t>
            </w:r>
          </w:p>
        </w:tc>
      </w:tr>
      <w:tr>
        <w:tc>
          <w:tcPr>
            <w:tcW w:type="dxa" w:w="1728"/>
          </w:tcPr>
          <w:p>
            <w:r>
              <w:t>POD-11</w:t>
            </w:r>
          </w:p>
        </w:tc>
        <w:tc>
          <w:tcPr>
            <w:tcW w:type="dxa" w:w="1728"/>
          </w:tcPr>
          <w:p>
            <w:r>
              <w:t>Rola / tím</w:t>
            </w:r>
          </w:p>
        </w:tc>
        <w:tc>
          <w:tcPr>
            <w:tcW w:type="dxa" w:w="1728"/>
          </w:tcPr>
          <w:p>
            <w:r>
              <w:t>IT tím / IT dodávateľ (outsourcing)</w:t>
            </w:r>
          </w:p>
        </w:tc>
        <w:tc>
          <w:tcPr>
            <w:tcW w:type="dxa" w:w="1728"/>
          </w:tcPr>
          <w:p>
            <w:r>
              <w:t>P2, P4, P5</w:t>
            </w:r>
          </w:p>
        </w:tc>
        <w:tc>
          <w:tcPr>
            <w:tcW w:type="dxa" w:w="1728"/>
          </w:tcPr>
          <w:p>
            <w:r>
              <w:t>Spravuje a udržiava informačné systémy organizácie.</w:t>
            </w:r>
          </w:p>
        </w:tc>
      </w:tr>
      <w:tr>
        <w:tc>
          <w:tcPr>
            <w:tcW w:type="dxa" w:w="1728"/>
          </w:tcPr>
          <w:p>
            <w:r>
              <w:t>POD-12</w:t>
            </w:r>
          </w:p>
        </w:tc>
        <w:tc>
          <w:tcPr>
            <w:tcW w:type="dxa" w:w="1728"/>
          </w:tcPr>
          <w:p>
            <w:r>
              <w:t>Priestor / budova</w:t>
            </w:r>
          </w:p>
        </w:tc>
        <w:tc>
          <w:tcPr>
            <w:tcW w:type="dxa" w:w="1728"/>
          </w:tcPr>
          <w:p>
            <w:r>
              <w:t>Centrála (krajské mesto) + 4 regionálne strediská (garáže)</w:t>
            </w:r>
          </w:p>
        </w:tc>
        <w:tc>
          <w:tcPr>
            <w:tcW w:type="dxa" w:w="1728"/>
          </w:tcPr>
          <w:p>
            <w:r>
              <w:t>P1, P3</w:t>
            </w:r>
          </w:p>
        </w:tc>
        <w:tc>
          <w:tcPr>
            <w:tcW w:type="dxa" w:w="1728"/>
          </w:tcPr>
          <w:p>
            <w:r>
              <w:t>Prevádzkové zázemie pre vodiča a technikov; parkovanie a servis vozidiel.</w:t>
            </w:r>
          </w:p>
        </w:tc>
      </w:tr>
      <w:tr>
        <w:tc>
          <w:tcPr>
            <w:tcW w:type="dxa" w:w="1728"/>
          </w:tcPr>
          <w:p>
            <w:r>
              <w:t>POD-13</w:t>
            </w:r>
          </w:p>
        </w:tc>
        <w:tc>
          <w:tcPr>
            <w:tcW w:type="dxa" w:w="1728"/>
          </w:tcPr>
          <w:p>
            <w:r>
              <w:t>Priestor / budova</w:t>
            </w:r>
          </w:p>
        </w:tc>
        <w:tc>
          <w:tcPr>
            <w:tcW w:type="dxa" w:w="1728"/>
          </w:tcPr>
          <w:p>
            <w:r>
              <w:t>Serverovňa / IT miestnosť</w:t>
            </w:r>
          </w:p>
        </w:tc>
        <w:tc>
          <w:tcPr>
            <w:tcW w:type="dxa" w:w="1728"/>
          </w:tcPr>
          <w:p>
            <w:r>
              <w:t>P2, P4</w:t>
            </w:r>
          </w:p>
        </w:tc>
        <w:tc>
          <w:tcPr>
            <w:tcW w:type="dxa" w:w="1728"/>
          </w:tcPr>
          <w:p>
            <w:r>
              <w:t>Fyzické umiestnenie serverov a sieťovej infraštruktúry.</w:t>
            </w:r>
          </w:p>
        </w:tc>
      </w:tr>
      <w:tr>
        <w:tc>
          <w:tcPr>
            <w:tcW w:type="dxa" w:w="1728"/>
          </w:tcPr>
          <w:p>
            <w:r>
              <w:t>POD-14</w:t>
            </w:r>
          </w:p>
        </w:tc>
        <w:tc>
          <w:tcPr>
            <w:tcW w:type="dxa" w:w="1728"/>
          </w:tcPr>
          <w:p>
            <w:r>
              <w:t>Externá služba</w:t>
            </w:r>
          </w:p>
        </w:tc>
        <w:tc>
          <w:tcPr>
            <w:tcW w:type="dxa" w:w="1728"/>
          </w:tcPr>
          <w:p>
            <w:r>
              <w:t>Dodávateľ paliva (nafta)</w:t>
            </w:r>
          </w:p>
        </w:tc>
        <w:tc>
          <w:tcPr>
            <w:tcW w:type="dxa" w:w="1728"/>
          </w:tcPr>
          <w:p>
            <w:r>
              <w:t>P1</w:t>
            </w:r>
          </w:p>
        </w:tc>
        <w:tc>
          <w:tcPr>
            <w:tcW w:type="dxa" w:w="1728"/>
          </w:tcPr>
          <w:p>
            <w:r>
              <w:t>Priame palivo pre autobusy – bez neho sa zastaví prepravný výkon.</w:t>
            </w:r>
          </w:p>
        </w:tc>
      </w:tr>
      <w:tr>
        <w:tc>
          <w:tcPr>
            <w:tcW w:type="dxa" w:w="1728"/>
          </w:tcPr>
          <w:p>
            <w:r>
              <w:t>POD-15</w:t>
            </w:r>
          </w:p>
        </w:tc>
        <w:tc>
          <w:tcPr>
            <w:tcW w:type="dxa" w:w="1728"/>
          </w:tcPr>
          <w:p>
            <w:r>
              <w:t>Externá služba</w:t>
            </w:r>
          </w:p>
        </w:tc>
        <w:tc>
          <w:tcPr>
            <w:tcW w:type="dxa" w:w="1728"/>
          </w:tcPr>
          <w:p>
            <w:r>
              <w:t>Telekomunikačný operátor</w:t>
            </w:r>
          </w:p>
        </w:tc>
        <w:tc>
          <w:tcPr>
            <w:tcW w:type="dxa" w:w="1728"/>
          </w:tcPr>
          <w:p>
            <w:r>
              <w:t>P2, P4</w:t>
            </w:r>
          </w:p>
        </w:tc>
        <w:tc>
          <w:tcPr>
            <w:tcW w:type="dxa" w:w="1728"/>
          </w:tcPr>
          <w:p>
            <w:r>
              <w:t>Poskytuje mobilnú sieť pre GPS a online predaj; výpadok ohrozí dispečing.</w:t>
            </w:r>
          </w:p>
        </w:tc>
      </w:tr>
      <w:tr>
        <w:tc>
          <w:tcPr>
            <w:tcW w:type="dxa" w:w="1728"/>
          </w:tcPr>
          <w:p>
            <w:r>
              <w:t>POD-16</w:t>
            </w:r>
          </w:p>
        </w:tc>
        <w:tc>
          <w:tcPr>
            <w:tcW w:type="dxa" w:w="1728"/>
          </w:tcPr>
          <w:p>
            <w:r>
              <w:t>Externá služba</w:t>
            </w:r>
          </w:p>
        </w:tc>
        <w:tc>
          <w:tcPr>
            <w:tcW w:type="dxa" w:w="1728"/>
          </w:tcPr>
          <w:p>
            <w:r>
              <w:t>Servisný partner pre opravy autobusov</w:t>
            </w:r>
          </w:p>
        </w:tc>
        <w:tc>
          <w:tcPr>
            <w:tcW w:type="dxa" w:w="1728"/>
          </w:tcPr>
          <w:p>
            <w:r>
              <w:t>P3</w:t>
            </w:r>
          </w:p>
        </w:tc>
        <w:tc>
          <w:tcPr>
            <w:tcW w:type="dxa" w:w="1728"/>
          </w:tcPr>
          <w:p>
            <w:r>
              <w:t>Externé opravovne pre ťažké opravy; výpadok predlžuje dobu nespôsobilosti vozidiel.</w:t>
            </w:r>
          </w:p>
        </w:tc>
      </w:tr>
    </w:tbl>
    <w:p>
      <w:pPr>
        <w:pStyle w:val="Heading1"/>
      </w:pPr>
      <w:r>
        <w:t>Krok 5 – Základná CIA klasifikácia informácií</w:t>
      </w:r>
    </w:p>
    <w:p>
      <w:r>
        <w:t>Každé informačné aktívum z Tabuľky 3 klasifikujeme podľa troch kritérií: Dôvernosť (V – Verejné, I – Interné, C – Chránené, P – Prísne chránené), Integrita (N – Nízka, S – Stredná, V – Vysoká), Dostupnosť (N – Nízka, S – Stredná, V – Vysoká).</w:t>
      </w:r>
    </w:p>
    <w:p>
      <w:r>
        <w:rPr>
          <w:b/>
        </w:rPr>
        <w:t>Tabuľka 5 – Základná CIA klasifikácia informácií</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BDD7EE"/>
          </w:tcPr>
          <w:p>
            <w:r>
              <w:rPr>
                <w:b/>
              </w:rPr>
              <w:t>ID INF</w:t>
            </w:r>
          </w:p>
        </w:tc>
        <w:tc>
          <w:tcPr>
            <w:tcW w:type="dxa" w:w="1728"/>
            <w:shd w:val="clear" w:color="auto" w:fill="BDD7EE"/>
          </w:tcPr>
          <w:p>
            <w:r>
              <w:rPr>
                <w:b/>
              </w:rPr>
              <w:t>Dôvernosť (V/I/C/P)</w:t>
            </w:r>
          </w:p>
        </w:tc>
        <w:tc>
          <w:tcPr>
            <w:tcW w:type="dxa" w:w="1728"/>
            <w:shd w:val="clear" w:color="auto" w:fill="BDD7EE"/>
          </w:tcPr>
          <w:p>
            <w:r>
              <w:rPr>
                <w:b/>
              </w:rPr>
              <w:t>Integrita (N/S/V)</w:t>
            </w:r>
          </w:p>
        </w:tc>
        <w:tc>
          <w:tcPr>
            <w:tcW w:type="dxa" w:w="1728"/>
            <w:shd w:val="clear" w:color="auto" w:fill="BDD7EE"/>
          </w:tcPr>
          <w:p>
            <w:r>
              <w:rPr>
                <w:b/>
              </w:rPr>
              <w:t>Dostupnosť (N/S/V)</w:t>
            </w:r>
          </w:p>
        </w:tc>
        <w:tc>
          <w:tcPr>
            <w:tcW w:type="dxa" w:w="1728"/>
            <w:shd w:val="clear" w:color="auto" w:fill="BDD7EE"/>
          </w:tcPr>
          <w:p>
            <w:r>
              <w:rPr>
                <w:b/>
              </w:rPr>
              <w:t>Stručné zdôvodnenie</w:t>
            </w:r>
          </w:p>
        </w:tc>
      </w:tr>
      <w:tr>
        <w:tc>
          <w:tcPr>
            <w:tcW w:type="dxa" w:w="1728"/>
          </w:tcPr>
          <w:p>
            <w:r>
              <w:t>INF-01</w:t>
            </w:r>
          </w:p>
        </w:tc>
        <w:tc>
          <w:tcPr>
            <w:tcW w:type="dxa" w:w="1728"/>
          </w:tcPr>
          <w:p>
            <w:r>
              <w:t>V</w:t>
            </w:r>
          </w:p>
        </w:tc>
        <w:tc>
          <w:tcPr>
            <w:tcW w:type="dxa" w:w="1728"/>
          </w:tcPr>
          <w:p>
            <w:r>
              <w:t>V</w:t>
            </w:r>
          </w:p>
        </w:tc>
        <w:tc>
          <w:tcPr>
            <w:tcW w:type="dxa" w:w="1728"/>
          </w:tcPr>
          <w:p>
            <w:r>
              <w:t>V</w:t>
            </w:r>
          </w:p>
        </w:tc>
        <w:tc>
          <w:tcPr>
            <w:tcW w:type="dxa" w:w="1728"/>
          </w:tcPr>
          <w:p>
            <w:r>
              <w:t>Cestovné poriadky sú verejné (zverejňované), ale ich integrita je kritická (chybný grafikón = chaos). Dostupnosť vysoká – vodiči aj cestujúci na ne spoliehajú v reálnom čase.</w:t>
            </w:r>
          </w:p>
        </w:tc>
      </w:tr>
      <w:tr>
        <w:tc>
          <w:tcPr>
            <w:tcW w:type="dxa" w:w="1728"/>
          </w:tcPr>
          <w:p>
            <w:r>
              <w:t>INF-02</w:t>
            </w:r>
          </w:p>
        </w:tc>
        <w:tc>
          <w:tcPr>
            <w:tcW w:type="dxa" w:w="1728"/>
          </w:tcPr>
          <w:p>
            <w:r>
              <w:t>I</w:t>
            </w:r>
          </w:p>
        </w:tc>
        <w:tc>
          <w:tcPr>
            <w:tcW w:type="dxa" w:w="1728"/>
          </w:tcPr>
          <w:p>
            <w:r>
              <w:t>S</w:t>
            </w:r>
          </w:p>
        </w:tc>
        <w:tc>
          <w:tcPr>
            <w:tcW w:type="dxa" w:w="1728"/>
          </w:tcPr>
          <w:p>
            <w:r>
              <w:t>S</w:t>
            </w:r>
          </w:p>
        </w:tc>
        <w:tc>
          <w:tcPr>
            <w:tcW w:type="dxa" w:w="1728"/>
          </w:tcPr>
          <w:p>
            <w:r>
              <w:t>Evidencia lístkov je interná (nie verejná, nie osobná). Chyba v evidencii spôsobí prevádzkové problémy, výpadok ovplyvní fakturáciu.</w:t>
            </w:r>
          </w:p>
        </w:tc>
      </w:tr>
      <w:tr>
        <w:tc>
          <w:tcPr>
            <w:tcW w:type="dxa" w:w="1728"/>
          </w:tcPr>
          <w:p>
            <w:r>
              <w:t>INF-03</w:t>
            </w:r>
          </w:p>
        </w:tc>
        <w:tc>
          <w:tcPr>
            <w:tcW w:type="dxa" w:w="1728"/>
          </w:tcPr>
          <w:p>
            <w:r>
              <w:t>I</w:t>
            </w:r>
          </w:p>
        </w:tc>
        <w:tc>
          <w:tcPr>
            <w:tcW w:type="dxa" w:w="1728"/>
          </w:tcPr>
          <w:p>
            <w:r>
              <w:t>V</w:t>
            </w:r>
          </w:p>
        </w:tc>
        <w:tc>
          <w:tcPr>
            <w:tcW w:type="dxa" w:w="1728"/>
          </w:tcPr>
          <w:p>
            <w:r>
              <w:t>S</w:t>
            </w:r>
          </w:p>
        </w:tc>
        <w:tc>
          <w:tcPr>
            <w:tcW w:type="dxa" w:w="1728"/>
          </w:tcPr>
          <w:p>
            <w:r>
              <w:t>Technická dokumentácia vozidiel je interná. Chyba v servisných záznamoch (integrita V) môže viesť k technickej nespôsobilosti a nehodám. Dostupnosť stredná – nie je potrebná v reálnom čase pri každej jazde.</w:t>
            </w:r>
          </w:p>
        </w:tc>
      </w:tr>
      <w:tr>
        <w:tc>
          <w:tcPr>
            <w:tcW w:type="dxa" w:w="1728"/>
          </w:tcPr>
          <w:p>
            <w:r>
              <w:t>INF-04</w:t>
            </w:r>
          </w:p>
        </w:tc>
        <w:tc>
          <w:tcPr>
            <w:tcW w:type="dxa" w:w="1728"/>
          </w:tcPr>
          <w:p>
            <w:r>
              <w:t>I</w:t>
            </w:r>
          </w:p>
        </w:tc>
        <w:tc>
          <w:tcPr>
            <w:tcW w:type="dxa" w:w="1728"/>
          </w:tcPr>
          <w:p>
            <w:r>
              <w:t>S</w:t>
            </w:r>
          </w:p>
        </w:tc>
        <w:tc>
          <w:tcPr>
            <w:tcW w:type="dxa" w:w="1728"/>
          </w:tcPr>
          <w:p>
            <w:r>
              <w:t>V</w:t>
            </w:r>
          </w:p>
        </w:tc>
        <w:tc>
          <w:tcPr>
            <w:tcW w:type="dxa" w:w="1728"/>
          </w:tcPr>
          <w:p>
            <w:r>
              <w:t>Dispečerské logy sú interné prevádzkové záznamy. Dostupnosť kritická – výpadok GPS logov znemožní koordináciu prevádzky v reálnom čase.</w:t>
            </w:r>
          </w:p>
        </w:tc>
      </w:tr>
      <w:tr>
        <w:tc>
          <w:tcPr>
            <w:tcW w:type="dxa" w:w="1728"/>
          </w:tcPr>
          <w:p>
            <w:r>
              <w:t>INF-05</w:t>
            </w:r>
          </w:p>
        </w:tc>
        <w:tc>
          <w:tcPr>
            <w:tcW w:type="dxa" w:w="1728"/>
          </w:tcPr>
          <w:p>
            <w:r>
              <w:t>C</w:t>
            </w:r>
          </w:p>
        </w:tc>
        <w:tc>
          <w:tcPr>
            <w:tcW w:type="dxa" w:w="1728"/>
          </w:tcPr>
          <w:p>
            <w:r>
              <w:t>V</w:t>
            </w:r>
          </w:p>
        </w:tc>
        <w:tc>
          <w:tcPr>
            <w:tcW w:type="dxa" w:w="1728"/>
          </w:tcPr>
          <w:p>
            <w:r>
              <w:t>S</w:t>
            </w:r>
          </w:p>
        </w:tc>
        <w:tc>
          <w:tcPr>
            <w:tcW w:type="dxa" w:w="1728"/>
          </w:tcPr>
          <w:p>
            <w:r>
              <w:t>Zmluvy so samosprávami sú chránené (nie verejné, obsahujú finančné podmienky). Manipulácia so zmluvou (integrita V) môže mať právne dôsledky. Dostupnosť stredná – zmluvy sú potrebné hlavne pre plánovanie a reporting.</w:t>
            </w:r>
          </w:p>
        </w:tc>
      </w:tr>
      <w:tr>
        <w:tc>
          <w:tcPr>
            <w:tcW w:type="dxa" w:w="1728"/>
          </w:tcPr>
          <w:p>
            <w:r>
              <w:t>INF-06</w:t>
            </w:r>
          </w:p>
        </w:tc>
        <w:tc>
          <w:tcPr>
            <w:tcW w:type="dxa" w:w="1728"/>
          </w:tcPr>
          <w:p>
            <w:r>
              <w:t>P</w:t>
            </w:r>
          </w:p>
        </w:tc>
        <w:tc>
          <w:tcPr>
            <w:tcW w:type="dxa" w:w="1728"/>
          </w:tcPr>
          <w:p>
            <w:r>
              <w:t>V</w:t>
            </w:r>
          </w:p>
        </w:tc>
        <w:tc>
          <w:tcPr>
            <w:tcW w:type="dxa" w:w="1728"/>
          </w:tcPr>
          <w:p>
            <w:r>
              <w:t>S</w:t>
            </w:r>
          </w:p>
        </w:tc>
        <w:tc>
          <w:tcPr>
            <w:tcW w:type="dxa" w:w="1728"/>
          </w:tcPr>
          <w:p>
            <w:r>
              <w:t>Osobné a platobné údaje zákazníkov sú prísne chránené (GDPR). Manipulácia alebo únik má právne dôsledky (pokuta ÚOOÚ). Dostupnosť stredná – potrebné pri prihlásení a predaji, nie pri každej jazde.</w:t>
            </w:r>
          </w:p>
        </w:tc>
      </w:tr>
      <w:tr>
        <w:tc>
          <w:tcPr>
            <w:tcW w:type="dxa" w:w="1728"/>
          </w:tcPr>
          <w:p>
            <w:r>
              <w:t>INF-07</w:t>
            </w:r>
          </w:p>
        </w:tc>
        <w:tc>
          <w:tcPr>
            <w:tcW w:type="dxa" w:w="1728"/>
          </w:tcPr>
          <w:p>
            <w:r>
              <w:t>I</w:t>
            </w:r>
          </w:p>
        </w:tc>
        <w:tc>
          <w:tcPr>
            <w:tcW w:type="dxa" w:w="1728"/>
          </w:tcPr>
          <w:p>
            <w:r>
              <w:t>S</w:t>
            </w:r>
          </w:p>
        </w:tc>
        <w:tc>
          <w:tcPr>
            <w:tcW w:type="dxa" w:w="1728"/>
          </w:tcPr>
          <w:p>
            <w:r>
              <w:t>S</w:t>
            </w:r>
          </w:p>
        </w:tc>
        <w:tc>
          <w:tcPr>
            <w:tcW w:type="dxa" w:w="1728"/>
          </w:tcPr>
          <w:p>
            <w:r>
              <w:t>Plány údržby sú interné operačné dokumenty. Chyba v plánovaní (integrita S) vedie k predĺženiu doby nespôsobilosti vozidiel. Dostupnosť stredná – vyžadovaná pri servisných prehliadkach, nie nepretržite.</w:t>
            </w:r>
          </w:p>
        </w:tc>
      </w:tr>
    </w:tbl>
    <w:p/>
    <w:p>
      <w:r>
        <w:t>Klasifikácia informácií tvorí základ pre určenie hodnoty aktív, nastavenie bezpečnostných opatrení a posúdenie rizík v ďalšom cvičení.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