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color w:val="000000"/>
          <w:sz w:val="24"/>
        </w:rPr>
        <w:t>SP-5: Un Marco de Gemelos Digitales para el Monitoreo en Tiempo Real de los Determinantes Sociales de la Salud (SDOH) y la Equidad en Salud en Áreas de Captación Hospitalaria Metropolitanas</w:t>
      </w:r>
    </w:p>
    <w:p>
      <w:pPr>
        <w:keepNext/>
        <w:spacing w:before="240" w:after="120"/>
        <w:jc w:val="left"/>
      </w:pPr>
      <w:r>
        <w:rPr>
          <w:rFonts w:ascii="Times New Roman" w:hAnsi="Times New Roman"/>
          <w:b/>
          <w:color w:val="000000"/>
          <w:sz w:val="24"/>
        </w:rPr>
        <w:t>ABSTRACT</w:t>
      </w:r>
    </w:p>
    <w:p>
      <w:pPr>
        <w:spacing w:line="360" w:lineRule="auto" w:after="120"/>
        <w:ind w:firstLine="709"/>
        <w:jc w:val="both"/>
      </w:pPr>
      <w:r>
        <w:rPr>
          <w:rFonts w:ascii="Times New Roman" w:hAnsi="Times New Roman"/>
          <w:b w:val="0"/>
          <w:color w:val="000000"/>
          <w:sz w:val="24"/>
        </w:rPr>
        <w:t>Health equity remains a pressing challenge in metropolitan healthcare systems because the unequal distribution of social determinants of health (SDOH), including economic stability, education, neighborhood conditions, and healthcare access, creates disparities that conventional hospital information systems rarely represent with adequate spatial and temporal resolution. Although digital twins (DTs) have expanded in precision medicine and hospital operations, their use for population-level SDOH monitoring within hospital catchment areas remains underdeveloped. This article proposes SP-5, a three-layer digital twin framework that integrates Internet of Things sensing, electronic health record events, geospatial information systems, and artificial intelligence to maintain a dynamic representation of the socio-spatial environment served by a metropolitan hospital network. The study follows a design-science approach and defines a simulation protocol using synthetic catchment areas of 50,000 to 500,000 inhabitants. The protocol evaluates interoperability, spatial accessibility, equity-index recomputation, predictive validity, and computational scalability under controlled update rates. The principal performance criterion is a 95th-percentile end-to-end latency below five seconds. Because the present stage is methodological, the contribution is a reproducible architecture and evaluation plan rather than evidence from a real patient deployment. SP-5 connects digital-twin engineering, social epidemiology, and urban health planning and provides a basis for future validation with governed metropolitan health data.</w:t>
      </w:r>
    </w:p>
    <w:p>
      <w:pPr>
        <w:spacing w:line="360" w:lineRule="auto" w:after="120"/>
        <w:jc w:val="both"/>
      </w:pPr>
      <w:r>
        <w:rPr>
          <w:rFonts w:ascii="Times New Roman" w:hAnsi="Times New Roman"/>
          <w:sz w:val="24"/>
        </w:rPr>
        <w:t>Keywords: digital twin; social determinants of health; health equity; hospital catchment area; real-time monitoring; smart cities</w:t>
      </w:r>
    </w:p>
    <w:p>
      <w:pPr>
        <w:keepNext/>
        <w:spacing w:before="240" w:after="120"/>
        <w:jc w:val="left"/>
      </w:pPr>
      <w:r>
        <w:rPr>
          <w:rFonts w:ascii="Times New Roman" w:hAnsi="Times New Roman"/>
          <w:b/>
          <w:color w:val="000000"/>
          <w:sz w:val="24"/>
        </w:rPr>
        <w:t>RESUMEN</w:t>
      </w:r>
    </w:p>
    <w:p>
      <w:pPr>
        <w:spacing w:line="360" w:lineRule="auto" w:after="120"/>
        <w:ind w:firstLine="709"/>
        <w:jc w:val="both"/>
      </w:pPr>
      <w:r>
        <w:rPr>
          <w:rFonts w:ascii="Times New Roman" w:hAnsi="Times New Roman"/>
          <w:b w:val="0"/>
          <w:color w:val="000000"/>
          <w:sz w:val="24"/>
        </w:rPr>
        <w:t>La equidad en salud constituye un desafío prioritario para los sistemas sanitarios metropolitanos, debido a que la distribución desigual de los determinantes sociales de la salud (SDOH), como la estabilidad económica, la educación, las condiciones del entorno y el acceso a los servicios, produce disparidades que los sistemas hospitalarios convencionales rara vez representan con suficiente resolución espacial y temporal. Aunque los gemelos digitales (DT) se han extendido en la medicina de precisión y las operaciones hospitalarias, su aplicación al monitoreo poblacional de SDOH dentro de áreas de captación continúa poco desarrollada. Este artículo propone SP-5, un marco de gemelo digital de tres capas que integra sensado mediante Internet de las Cosas, eventos de registros electrónicos de salud, sistemas de información geográfica e inteligencia artificial para mantener una representación dinámica del entorno socioespacial atendido por una red hospitalaria metropolitana. El estudio adopta un enfoque de ciencia del diseño y define un protocolo de simulación con áreas de captación sintéticas de 50,000 a 500,000 habitantes. El protocolo evalúa interoperabilidad, accesibilidad espacial, recomputación del índice de equidad, validez predictiva y escalabilidad computacional bajo tasas de actualización controladas. El criterio principal de rendimiento es una latencia extremo a extremo inferior a cinco segundos en el percentil 95. Debido a que la etapa actual es metodológica, la contribución corresponde a una arquitectura y un plan de evaluación reproducibles, no a evidencia derivada de un despliegue con pacientes reales. SP-5 articula la ingeniería de gemelos digitales, la epidemiología social y la planificación urbana de la salud, y establece una base para su futura validación con datos metropolitanos gobernados.</w:t>
      </w:r>
    </w:p>
    <w:p>
      <w:pPr>
        <w:spacing w:line="360" w:lineRule="auto" w:after="120"/>
        <w:jc w:val="both"/>
      </w:pPr>
      <w:r>
        <w:rPr>
          <w:rFonts w:ascii="Times New Roman" w:hAnsi="Times New Roman"/>
          <w:sz w:val="24"/>
        </w:rPr>
        <w:t>Palabras clave: gemelo digital; determinantes sociales de la salud; equidad en salud; área de captación hospitalaria; monitoreo en tiempo real; ciudades inteligentes</w:t>
      </w:r>
    </w:p>
    <w:p>
      <w:pPr>
        <w:keepNext/>
        <w:spacing w:before="240" w:after="120"/>
        <w:jc w:val="left"/>
      </w:pPr>
      <w:r>
        <w:rPr>
          <w:rFonts w:ascii="Times New Roman" w:hAnsi="Times New Roman"/>
          <w:b/>
          <w:color w:val="000000"/>
          <w:sz w:val="24"/>
        </w:rPr>
        <w:t>1. INTRODUCCIÓN</w:t>
      </w:r>
    </w:p>
    <w:p>
      <w:pPr>
        <w:keepNext/>
        <w:spacing w:before="120" w:after="120"/>
        <w:jc w:val="left"/>
      </w:pPr>
      <w:r>
        <w:rPr>
          <w:rFonts w:ascii="Times New Roman" w:hAnsi="Times New Roman"/>
          <w:b/>
          <w:color w:val="000000"/>
          <w:sz w:val="24"/>
        </w:rPr>
        <w:t>1.1. Los Determinantes Sociales de la Salud y la Brecha de Equidad en Contextos Metropolitanos</w:t>
      </w:r>
    </w:p>
    <w:p>
      <w:pPr>
        <w:spacing w:line="360" w:lineRule="auto" w:after="120"/>
        <w:ind w:firstLine="720"/>
        <w:jc w:val="both"/>
      </w:pPr>
      <w:r>
        <w:rPr>
          <w:rFonts w:ascii="Times New Roman" w:hAnsi="Times New Roman"/>
          <w:sz w:val="24"/>
        </w:rPr>
        <w:t>Los determinantes sociales de la salud (SDOH, por sus siglas en inglés) comprenden condiciones sociales, económicas, ambientales y contextuales que influyen en la salud y en la distribución de las inequidades. La evidencia reciente muestra que la incorporación de SDOH en los registros electrónicos de salud puede apoyar una atención más contextualizada, pero también enfrenta problemas de disponibilidad, calidad, completitud y aceptación de los datos por parte de los usuarios (Arroyave Caicedo et al., 2024). Estos desafíos se agravan cuando se combinan fuentes clínicas, administrativas y comunitarias, debido a diferencias de estructura y granularidad (Craven et al., 2024; Khurshid et al., 2023).</w:t>
      </w:r>
    </w:p>
    <w:p>
      <w:pPr>
        <w:spacing w:line="360" w:lineRule="auto" w:after="120"/>
        <w:ind w:firstLine="709"/>
        <w:jc w:val="both"/>
      </w:pPr>
      <w:r>
        <w:rPr>
          <w:rFonts w:ascii="Times New Roman" w:hAnsi="Times New Roman"/>
          <w:b w:val="0"/>
          <w:color w:val="000000"/>
          <w:sz w:val="24"/>
        </w:rPr>
        <w:t>La integración de SDOH también requiere mecanismos reproducibles para derivar, armonizar y utilizar información social. Estudios recientes han mostrado estrategias para integrar datos heterogéneos de SDOH mediante flujos de trabajo reproducibles y enfoques orientados a la trazabilidad de los datos (Markatou et al., 2023), así como ontologías que permiten representar de forma estandarizada las relaciones entre determinantes sociales y resultados de salud (Dang et al., 2023). Además, se han desarrollado pipelines para obtener y compartir indicadores de SDOH a nivel de vecindario mediante geocodificación y variables contextuales, demostrando la viabilidad de integrar información espacial con datos clínicos (Schappe et al., 2025). Estos trabajos muestran que la equidad requiere una representación de SDOH que sea interoperable, espacialmente explícita y actualizable.</w:t>
      </w:r>
    </w:p>
    <w:p>
      <w:pPr>
        <w:keepNext/>
        <w:spacing w:before="120" w:after="120"/>
        <w:jc w:val="left"/>
      </w:pPr>
      <w:r>
        <w:rPr>
          <w:rFonts w:ascii="Times New Roman" w:hAnsi="Times New Roman"/>
          <w:b/>
          <w:color w:val="000000"/>
          <w:sz w:val="24"/>
        </w:rPr>
        <w:t>1.2. La Tecnología de Gemelos Digitales: De los Orígenes Industriales a las Aplicaciones en Salud</w:t>
      </w:r>
    </w:p>
    <w:p>
      <w:pPr>
        <w:spacing w:line="360" w:lineRule="auto" w:after="120"/>
        <w:ind w:firstLine="720"/>
        <w:jc w:val="both"/>
      </w:pPr>
      <w:r>
        <w:rPr>
          <w:rFonts w:ascii="Times New Roman" w:hAnsi="Times New Roman"/>
          <w:sz w:val="24"/>
        </w:rPr>
        <w:t>El concepto de gemelo digital (DT, por sus siglas en inglés) se refiere a una representación digital dinámica de un sistema físico que puede actualizarse mediante datos y utilizarse para análisis, simulación, predicción u optimización. En salud, revisiones recientes muestran una expansión de las aplicaciones de DT hacia la gestión sanitaria, el monitoreo y la medicina de precisión (Elkefi &amp; Asan, 2022; Katsoulakis et al., 2024; Shen et al., 2024; Vallée, 2023). La evidencia también indica que los DT pueden utilizarse para representar procesos de salud a escala poblacional, aunque persisten desafíos de validación, calidad de datos, interoperabilidad y transición desde prototipos hacia implementaciones reales (Elkefi &amp; Asan, 2022; Shen et al., 2024).</w:t>
      </w:r>
    </w:p>
    <w:p>
      <w:pPr>
        <w:spacing w:line="360" w:lineRule="auto" w:after="120"/>
        <w:ind w:firstLine="720"/>
        <w:jc w:val="both"/>
      </w:pPr>
      <w:r>
        <w:rPr>
          <w:rFonts w:ascii="Times New Roman" w:hAnsi="Times New Roman"/>
          <w:sz w:val="24"/>
        </w:rPr>
        <w:t>La emergencia de los gemelos digitales societales y urbanos ha ampliado el interés por representar sistemas complejos que integran movilidad, ambiente, infraestructura y salud. Investigaciones recientes han propuesto taxonomías para los gemelos digitales societales orientadas a la preparación ante eventos de salud pública (Rehan &amp; Rehan, 2025) y arquitecturas de ciudades inteligentes con casos de uso de eHealth (Jayachandran et al., 2025). Estos desarrollos sugieren que un DT sanitario puede evolucionar desde una representación individual hacia un ecosistema socioespacial, siempre que existan mecanismos adecuados de integración e interoperabilidad. En este sentido, los estándares y técnicas de transformación de datos sanitarios, como FHIR, son relevantes para conectar fuentes heterogéneas dentro de arquitecturas digitales (Bossenko et al., 2024).</w:t>
      </w:r>
    </w:p>
    <w:p>
      <w:pPr>
        <w:keepNext/>
        <w:spacing w:before="120" w:after="120"/>
        <w:jc w:val="left"/>
      </w:pPr>
      <w:r>
        <w:rPr>
          <w:rFonts w:ascii="Times New Roman" w:hAnsi="Times New Roman"/>
          <w:b/>
          <w:color w:val="000000"/>
          <w:sz w:val="24"/>
        </w:rPr>
        <w:t>1.3. Las Áreas de Captación Hospitalaria como Sistemas Espaciales para el Análisis de Equidad</w:t>
      </w:r>
    </w:p>
    <w:p>
      <w:pPr>
        <w:spacing w:line="360" w:lineRule="auto" w:after="120"/>
        <w:ind w:firstLine="720"/>
        <w:jc w:val="both"/>
      </w:pPr>
      <w:r>
        <w:rPr>
          <w:rFonts w:ascii="Times New Roman" w:hAnsi="Times New Roman"/>
          <w:sz w:val="24"/>
        </w:rPr>
        <w:t>Un área de captación hospitalaria define la región geográfica desde la cual una institución de salud recibe una parte relevante de su población de pacientes. Para estudiar la accesibilidad sanitaria se han utilizado métodos geoespaciales basados en oferta, demanda y distancia, entre ellos las variantes del modelo de área de captación flotante de dos pasos (2SFCA). Estudios recientes han aplicado estos métodos para analizar accesibilidad a atención primaria en sistemas público-privados (Ab Hamid et al., 2023), accesibilidad multimodal a hospitales mediante métodos de gravedad y 2SFCA (Sun et al., 2024), y diferencias territoriales de accesibilidad entre proveedores públicos y privados (Pérez-Fernández &amp; Michel, 2025).</w:t>
      </w:r>
    </w:p>
    <w:p>
      <w:pPr>
        <w:spacing w:line="360" w:lineRule="auto" w:after="120"/>
        <w:ind w:firstLine="720"/>
        <w:jc w:val="both"/>
      </w:pPr>
      <w:r>
        <w:rPr>
          <w:rFonts w:ascii="Times New Roman" w:hAnsi="Times New Roman"/>
          <w:sz w:val="24"/>
        </w:rPr>
        <w:t>La accesibilidad puede evaluarse además mediante herramientas de geoprocesamiento que permiten automatizar el cálculo de medidas espaciales y estudiar inequidades territoriales (Hashtarkhani et al., 2024). Cuando estos análisis se combinan con datos de SDOH, es posible identificar áreas donde la vulnerabilidad social coincide con barreras de acceso sanitario. Los análisis geoespaciales de pacientes han demostrado la utilidad de incorporar características sociales y espaciales para estudiar disparidades en salud (Pearson et al., 2023), mientras que trabajos recientes han propuesto conectar factores sociales y biológicos dentro de rutas digitales hacia resultados de salud y equidad (Cui, 2025). Un DT orientado a áreas de captación podría integrar estas dimensiones para actualizar dinámicamente los indicadores de accesibilidad y vulnerabilidad.</w:t>
      </w:r>
    </w:p>
    <w:p>
      <w:pPr>
        <w:keepNext/>
        <w:spacing w:before="120" w:after="120"/>
        <w:jc w:val="left"/>
      </w:pPr>
      <w:r>
        <w:rPr>
          <w:rFonts w:ascii="Times New Roman" w:hAnsi="Times New Roman"/>
          <w:b/>
          <w:color w:val="000000"/>
          <w:sz w:val="24"/>
        </w:rPr>
        <w:t>1.4. La Brecha de Integración: Por Qué los Marcos Actuales No Alcanzan</w:t>
      </w:r>
    </w:p>
    <w:p>
      <w:pPr>
        <w:spacing w:line="360" w:lineRule="auto" w:after="120"/>
        <w:ind w:firstLine="720"/>
        <w:jc w:val="both"/>
      </w:pPr>
      <w:r>
        <w:rPr>
          <w:rFonts w:ascii="Times New Roman" w:hAnsi="Times New Roman"/>
          <w:sz w:val="24"/>
        </w:rPr>
        <w:t>A pesar de los avances convergentes en la recopilación de datos de SDOH, la tecnología de gemelos digitales y el análisis geoespacial de salud, tres barreras estructurales impiden su integración en un marco de monitoreo unificado para áreas de captación hospitalaria metropolitanas.</w:t>
      </w:r>
    </w:p>
    <w:p>
      <w:pPr>
        <w:spacing w:line="360" w:lineRule="auto" w:after="120"/>
        <w:ind w:firstLine="720"/>
        <w:jc w:val="both"/>
      </w:pPr>
      <w:r>
        <w:rPr>
          <w:rFonts w:ascii="Times New Roman" w:hAnsi="Times New Roman"/>
          <w:sz w:val="24"/>
        </w:rPr>
        <w:t>Primero, la interoperabilidad de datos permanece fragmentada. Los datos de SDOH pueden residir en registros electrónicos de salud, fuentes comunitarias, bases censales, sensores ambientales y otras plataformas, con diferentes estructuras, granularidades y frecuencias de actualización. Investigaciones recientes han señalado dificultades de estandarización y armonización de SDOH (Craven et al., 2024; Dang et al., 2023), mientras que la interoperabilidad de datos sanitarios puede apoyarse en estándares y lenguajes de mapeo como FHIR (Bossenko et al., 2024). Por tanto, una arquitectura de DT para equidad debe integrar fuentes heterogéneas sin perder trazabilidad ni consistencia semántica.</w:t>
      </w:r>
    </w:p>
    <w:p>
      <w:pPr>
        <w:spacing w:line="360" w:lineRule="auto" w:after="120"/>
        <w:ind w:firstLine="720"/>
        <w:jc w:val="both"/>
      </w:pPr>
      <w:r>
        <w:rPr>
          <w:rFonts w:ascii="Times New Roman" w:hAnsi="Times New Roman"/>
          <w:sz w:val="24"/>
        </w:rPr>
        <w:t>Segundo, la falta de coincidencia temporal limita la capacidad de respuesta. Muchos indicadores sociales y contextuales se actualizan con una frecuencia menor que las decisiones operacionales hospitalarias, mientras que sensores, dispositivos conectados y otras fuentes digitales pueden generar observaciones con mayor frecuencia. La literatura sobre DT en salud destaca la integración de datos y la actualización dinámica como elementos centrales de estas arquitecturas (Elkefi &amp; Asan, 2022; Katsoulakis et al., 2024; Shen et al., 2024; Vallée, 2023). De forma complementaria, los pipelines recientes de SDOH muestran que la generación de variables contextuales puede automatizarse y actualizarse a partir de datos geocodificados (Schappe et al., 2025).</w:t>
      </w:r>
    </w:p>
    <w:p>
      <w:pPr>
        <w:spacing w:line="360" w:lineRule="auto" w:after="120"/>
        <w:ind w:firstLine="720"/>
        <w:jc w:val="both"/>
      </w:pPr>
      <w:r>
        <w:rPr>
          <w:rFonts w:ascii="Times New Roman" w:hAnsi="Times New Roman"/>
          <w:sz w:val="24"/>
        </w:rPr>
        <w:t>Tercero, las métricas de equidad requieren una formulación que permita su uso operacional. Los estudios recientes sobre DT resaltan la necesidad de validar los modelos y considerar calidad de datos, incertidumbre y aplicabilidad (Elkefi &amp; Asan, 2022; Katsoulakis et al., 2024; Shen et al., 2024). De manera complementaria, los métodos de accesibilidad espacial ofrecen medidas reproducibles de desigualdad territorial mediante relaciones oferta-demanda, funciones de distancia y análisis multimodal (Ab Hamid et al., 2023; Hashtarkhani et al., 2024; Pérez-Fernández &amp; Michel, 2025; Sun et al., 2024). La combinación de estas medidas con información geoespacial de SDOH (Pearson et al., 2023) y con modelos que conectan determinantes sociales y resultados de salud (Cui, 2025) permite plantear métricas de equidad espacialmente explícitas. Asimismo, los métodos mejorados de 2SFCA han demostrado su utilidad para evaluar conjuntamente accesibilidad y equidad territorial (Liu et al., 2023).</w:t>
      </w:r>
    </w:p>
    <w:p>
      <w:pPr>
        <w:keepNext/>
        <w:spacing w:before="120" w:after="120"/>
        <w:jc w:val="left"/>
      </w:pPr>
      <w:r>
        <w:rPr>
          <w:rFonts w:ascii="Times New Roman" w:hAnsi="Times New Roman"/>
          <w:b/>
          <w:color w:val="000000"/>
          <w:sz w:val="24"/>
        </w:rPr>
        <w:t>1.5. Objetivos de Investigación e Hipótesis</w:t>
      </w:r>
    </w:p>
    <w:p>
      <w:pPr>
        <w:spacing w:line="360" w:lineRule="auto" w:after="120"/>
        <w:ind w:firstLine="720"/>
        <w:jc w:val="both"/>
      </w:pPr>
      <w:r>
        <w:rPr>
          <w:rFonts w:ascii="Times New Roman" w:hAnsi="Times New Roman"/>
          <w:sz w:val="24"/>
        </w:rPr>
        <w:t>Este estudio aborda la brecha identificada proponiendo SP-5, un marco de gemelo digital arquitectado específicamente para el monitoreo en tiempo real de los SDOH y la equidad en salud dentro de áreas de captación hospitalaria metropolitanas. El marco recibe su nombre de los cinco dominios de SDOH utilizados como referencia conceptual y de un pipeline operacional compuesto por sensado, integración, modelado, simulación y acción. El objetivo general es diseñar y evaluar preliminarmente una arquitectura que permita a los hospitales monitorear, simular y responder a cambios relevantes para la equidad en sus áreas de captación a velocidades compatibles con la toma de decisiones operacionales.</w:t>
      </w:r>
    </w:p>
    <w:p>
      <w:pPr>
        <w:spacing w:line="360" w:lineRule="auto" w:after="120"/>
        <w:ind w:firstLine="720"/>
        <w:jc w:val="both"/>
      </w:pPr>
      <w:r>
        <w:rPr>
          <w:rFonts w:ascii="Times New Roman" w:hAnsi="Times New Roman"/>
          <w:sz w:val="24"/>
        </w:rPr>
        <w:t>Para alcanzar este objetivo, se establecen los siguientes objetivos específicos:</w:t>
      </w:r>
    </w:p>
    <w:p>
      <w:pPr>
        <w:pStyle w:val="ListBullet"/>
        <w:spacing w:line="360" w:lineRule="auto" w:after="60"/>
      </w:pPr>
      <w:r>
        <w:rPr>
          <w:rFonts w:ascii="Times New Roman" w:hAnsi="Times New Roman"/>
          <w:sz w:val="24"/>
        </w:rPr>
        <w:t>OE1: Formalizar el área de captación hospitalaria como un sistema socioespacial dinámico susceptible de representación mediante gemelo digital, integrando indicadores de SDOH, datos de flujo de pacientes y estados de recursos de salud.</w:t>
      </w:r>
    </w:p>
    <w:p>
      <w:pPr>
        <w:pStyle w:val="ListBullet"/>
        <w:spacing w:line="360" w:lineRule="auto" w:after="60"/>
      </w:pPr>
      <w:r>
        <w:rPr>
          <w:rFonts w:ascii="Times New Roman" w:hAnsi="Times New Roman"/>
          <w:sz w:val="24"/>
        </w:rPr>
        <w:t>OE2: Diseñar una arquitectura de gemelo digital de tres capas (capa de sensado físico, capa de integración digital y capa de simulación-analítica) que logre la recomputación de índices de equidad en menos de cinco segundos ante actualizaciones de datos.</w:t>
      </w:r>
    </w:p>
    <w:p>
      <w:pPr>
        <w:pStyle w:val="ListBullet"/>
        <w:spacing w:line="360" w:lineRule="auto" w:after="60"/>
      </w:pPr>
      <w:r>
        <w:rPr>
          <w:rFonts w:ascii="Times New Roman" w:hAnsi="Times New Roman"/>
          <w:sz w:val="24"/>
        </w:rPr>
        <w:t>OE3: Especificar protocolos de interoperabilidad para la ingestión en tiempo real de flujos de datos heterogéneos de SDOH (sensores IoT, extractos de EHR, actualizaciones censales, feeds ambientales) preservando la privacidad del paciente y los estándares de gobernanza de datos.</w:t>
      </w:r>
    </w:p>
    <w:p>
      <w:pPr>
        <w:pStyle w:val="ListBullet"/>
        <w:spacing w:line="360" w:lineRule="auto" w:after="60"/>
      </w:pPr>
      <w:r>
        <w:rPr>
          <w:rFonts w:ascii="Times New Roman" w:hAnsi="Times New Roman"/>
          <w:sz w:val="24"/>
        </w:rPr>
        <w:t>OE4: Desarrollar un conjunto de métricas de equidad específicas para áreas de captación que cuantifiquen las disparidades en accesibilidad, riesgo de resultados y asignación de recursos, y demostrar su computabilidad en tiempo real dentro del marco.</w:t>
      </w:r>
    </w:p>
    <w:p>
      <w:pPr>
        <w:spacing w:line="360" w:lineRule="auto" w:after="120"/>
        <w:ind w:firstLine="720"/>
        <w:jc w:val="both"/>
      </w:pPr>
      <w:r>
        <w:rPr>
          <w:rFonts w:ascii="Times New Roman" w:hAnsi="Times New Roman"/>
          <w:sz w:val="24"/>
        </w:rPr>
        <w:t>En consonancia con estos objetivos, se formulan las siguientes hipótesis de investigación:</w:t>
      </w:r>
    </w:p>
    <w:p>
      <w:pPr>
        <w:pStyle w:val="ListBullet"/>
        <w:spacing w:line="360" w:lineRule="auto" w:after="60"/>
      </w:pPr>
      <w:r>
        <w:rPr>
          <w:rFonts w:ascii="Times New Roman" w:hAnsi="Times New Roman"/>
          <w:sz w:val="24"/>
        </w:rPr>
        <w:t>H1: Una arquitectura de gemelo digital que integre flujos de datos de SDOH en tiempo real con datos operacionales hospitalarios genera índices de equidad con latencia temporal significativamente menor y resolución espacial más alta que las evaluaciones de equidad retrospectivas basadas en encuestas.</w:t>
      </w:r>
    </w:p>
    <w:p>
      <w:pPr>
        <w:pStyle w:val="ListBullet"/>
        <w:spacing w:line="360" w:lineRule="auto" w:after="60"/>
      </w:pPr>
      <w:r>
        <w:rPr>
          <w:rFonts w:ascii="Times New Roman" w:hAnsi="Times New Roman"/>
          <w:sz w:val="24"/>
        </w:rPr>
        <w:t>H2: La incorporación de modelado de accesibilidad con decaimiento de la distancia y estimación dinámica de límites de captación dentro de un gemelo digital mejora la validez predictiva de las disparidades en flujo de pacientes y resultados en salud en comparación con definiciones estáticas de captación.</w:t>
      </w:r>
    </w:p>
    <w:p>
      <w:pPr>
        <w:pStyle w:val="ListBullet"/>
        <w:spacing w:line="360" w:lineRule="auto" w:after="60"/>
      </w:pPr>
      <w:r>
        <w:rPr>
          <w:rFonts w:ascii="Times New Roman" w:hAnsi="Times New Roman"/>
          <w:sz w:val="24"/>
        </w:rPr>
        <w:t>H3: El marco SP-5 logra la recomputación de índices de equidad y simulaciones de escenarios dentro de cinco segundos para áreas de captación de hasta 500,000 habitantes, manteniendo un rendimiento computacional compatible con las operaciones de apoyo a la decisión hospitalaria en tiempo real.</w:t>
      </w:r>
    </w:p>
    <w:p>
      <w:pPr>
        <w:spacing w:line="360" w:lineRule="auto" w:after="120"/>
        <w:ind w:firstLine="720"/>
        <w:jc w:val="both"/>
      </w:pPr>
      <w:r>
        <w:rPr>
          <w:rFonts w:ascii="Times New Roman" w:hAnsi="Times New Roman"/>
          <w:sz w:val="24"/>
        </w:rPr>
        <w:t>La pregunta de investigación central es: ¿Cómo puede arquitecturarse la tecnología de gemelos digitales para habilitar el monitoreo en tiempo real, procesable, de los determinantes sociales de la salud y la equidad en salud dentro de áreas de captación hospitalaria metropolitanas? Esta pregunta operacionaliza la integración de tres dominios previamente aislados — epidemiología social, análisis geoespacial de salud e ingeniería de gemelos digitales — en un marco unificado diseñado para impacto traslacional.</w:t>
      </w:r>
    </w:p>
    <w:p>
      <w:pPr>
        <w:keepNext/>
        <w:spacing w:before="120" w:after="120"/>
        <w:jc w:val="left"/>
      </w:pPr>
      <w:r>
        <w:rPr>
          <w:rFonts w:ascii="Times New Roman" w:hAnsi="Times New Roman"/>
          <w:b/>
          <w:color w:val="000000"/>
          <w:sz w:val="24"/>
        </w:rPr>
        <w:t>1.6. Estructura del Artículo</w:t>
      </w:r>
    </w:p>
    <w:p>
      <w:pPr>
        <w:spacing w:line="360" w:lineRule="auto" w:after="120"/>
        <w:ind w:firstLine="709"/>
        <w:jc w:val="both"/>
      </w:pPr>
      <w:r>
        <w:rPr>
          <w:rFonts w:ascii="Times New Roman" w:hAnsi="Times New Roman"/>
          <w:b w:val="0"/>
          <w:color w:val="000000"/>
          <w:sz w:val="24"/>
        </w:rPr>
        <w:t>El resto de este artículo se organiza de la siguiente manera. La Sección 2 revisa la literatura sobre gemelos digitales en salud, integración de SDOH, interoperabilidad y análisis geoespacial de áreas de captación. La Sección 3 presenta el diseño metodológico, la arquitectura SP-5, los datos sintéticos, las métricas de equidad y el protocolo de evaluación. Una fase posterior reportará los resultados de rendimiento y validez, seguida de la discusión de implicaciones, limitaciones y conclusiones.</w:t>
      </w:r>
    </w:p>
    <w:p>
      <w:pPr>
        <w:keepNext/>
        <w:spacing w:before="240" w:after="120"/>
        <w:jc w:val="left"/>
      </w:pPr>
      <w:r>
        <w:rPr>
          <w:rFonts w:ascii="Times New Roman" w:hAnsi="Times New Roman"/>
          <w:b/>
          <w:color w:val="000000"/>
          <w:sz w:val="24"/>
        </w:rPr>
        <w:t>2. REVISIÓN DE LA LITERATURA</w:t>
      </w:r>
    </w:p>
    <w:p>
      <w:pPr>
        <w:keepNext/>
        <w:spacing w:before="160" w:after="120"/>
        <w:jc w:val="left"/>
      </w:pPr>
      <w:r>
        <w:rPr>
          <w:rFonts w:ascii="Times New Roman" w:hAnsi="Times New Roman"/>
          <w:b/>
          <w:color w:val="000000"/>
          <w:sz w:val="24"/>
        </w:rPr>
        <w:t>2.1. Gemelos digitales en salud y transición hacia la escala poblacional</w:t>
      </w:r>
    </w:p>
    <w:p>
      <w:pPr>
        <w:spacing w:line="360" w:lineRule="auto" w:after="120"/>
        <w:ind w:firstLine="709"/>
        <w:jc w:val="both"/>
      </w:pPr>
      <w:r>
        <w:rPr>
          <w:rFonts w:ascii="Times New Roman" w:hAnsi="Times New Roman"/>
          <w:color w:val="000000"/>
          <w:sz w:val="24"/>
        </w:rPr>
        <w:t>Los gemelos digitales sanitarios se distinguen de los modelos estáticos porque mantienen una relación actualizable entre el sistema observado y su representación digital. Su valor no depende únicamente de reproducir un estado, sino de integrar datos multimodales, ejecutar simulaciones y devolver información útil para la decisión. En salud, las aplicaciones se han concentrado en medicina personalizada, ensayos in silico y optimización operativa; la traslación hacia salud pública requiere agregar información individual, ambiental y poblacional sin perder trazabilidad ni contexto territorial (Armeni et al., 2022; Sun et al., 2022).</w:t>
      </w:r>
    </w:p>
    <w:p>
      <w:pPr>
        <w:spacing w:line="360" w:lineRule="auto" w:after="120"/>
        <w:ind w:firstLine="709"/>
        <w:jc w:val="both"/>
      </w:pPr>
      <w:r>
        <w:rPr>
          <w:rFonts w:ascii="Times New Roman" w:hAnsi="Times New Roman"/>
          <w:color w:val="000000"/>
          <w:sz w:val="24"/>
        </w:rPr>
        <w:t>Las revisiones más recientes muestran que la investigación todavía se encuentra en una fase heterogénea: coexisten modelos fisiológicos, representaciones de pacientes, flujos hospitalarios y prototipos institucionales bajo una misma etiqueta. También persisten diferencias en la definición del vínculo bidireccional, la frecuencia de actualización y el grado de validación. Esta diversidad justifica que SP-5 explicite sus entidades, flujos, métricas y pruebas, en lugar de asumir que cualquier tablero actualizado constituye un gemelo digital (Katsoulakis et al., 2024; Papachristou et al., 2024).</w:t>
      </w:r>
    </w:p>
    <w:p>
      <w:pPr>
        <w:spacing w:line="360" w:lineRule="auto" w:after="120"/>
        <w:ind w:firstLine="709"/>
        <w:jc w:val="both"/>
      </w:pPr>
      <w:r>
        <w:rPr>
          <w:rFonts w:ascii="Times New Roman" w:hAnsi="Times New Roman"/>
          <w:color w:val="000000"/>
          <w:sz w:val="24"/>
        </w:rPr>
        <w:t>La literatura reconoce un potencial específico para la escala poblacional, aunque las implementaciones disponibles se orientan principalmente al individuo o a la eficiencia interna del hospital. Los modelos que integran datos clínicos, ambientales y poblacionales ofrecen una ruta hacia la salud pública de precisión, pero necesitan mecanismos de agregación espacial, evaluación de sesgos y gobierno de datos. Las revisiones recientes señalan, además, que la calidad e integración de los datos, la escalabilidad, la estandarización y la validación clínica siguen siendo brechas centrales (Ringeval et al., 2025; Zhang et al., 2024).</w:t>
      </w:r>
    </w:p>
    <w:p>
      <w:pPr>
        <w:keepNext/>
        <w:spacing w:before="160" w:after="120"/>
        <w:jc w:val="left"/>
      </w:pPr>
      <w:r>
        <w:rPr>
          <w:rFonts w:ascii="Times New Roman" w:hAnsi="Times New Roman"/>
          <w:b/>
          <w:color w:val="000000"/>
          <w:sz w:val="24"/>
        </w:rPr>
        <w:t>2.2. Arquitecturas de datos, actualización e interoperabilidad</w:t>
      </w:r>
    </w:p>
    <w:p>
      <w:pPr>
        <w:spacing w:line="360" w:lineRule="auto" w:after="120"/>
        <w:ind w:firstLine="709"/>
        <w:jc w:val="both"/>
      </w:pPr>
      <w:r>
        <w:rPr>
          <w:rFonts w:ascii="Times New Roman" w:hAnsi="Times New Roman"/>
          <w:color w:val="000000"/>
          <w:sz w:val="24"/>
        </w:rPr>
        <w:t>Un DT operativo requiere una cadena que conecte adquisición, integración, modelado, simulación y acción. Desde la perspectiva del ciclo completo, los datos y modelos deben conservar identidad, marca temporal, procedencia y reglas de sincronización; la red de comunicación debe tolerar fuentes con distinta velocidad y calidad. Esta visión permite separar el gemelo de una simple réplica visual y orienta la definición de eventos, estados y retroalimentación en SP-5 (Wu et al., 2023).</w:t>
      </w:r>
    </w:p>
    <w:p>
      <w:pPr>
        <w:spacing w:line="360" w:lineRule="auto" w:after="120"/>
        <w:ind w:firstLine="709"/>
        <w:jc w:val="both"/>
      </w:pPr>
      <w:r>
        <w:rPr>
          <w:rFonts w:ascii="Times New Roman" w:hAnsi="Times New Roman"/>
          <w:color w:val="000000"/>
          <w:sz w:val="24"/>
        </w:rPr>
        <w:t>La capa de sensado debe admitir fuentes heterogéneas, como dispositivos ambientales, sistemas clínicos, registros administrativos y actualizaciones territoriales. Las arquitecturas IoT contemporáneas muestran que la integración exige compatibilidad entre protocolos, formatos y plataformas, además de decisiones explícitas sobre procesamiento en el borde y en servicios centrales. En SP-5, estas decisiones se traducen en adaptadores de fuente y un esquema canónico de eventos, evitando acoplar la lógica analítica a un proveedor o dispositivo específico (Domínguez-Bolaño et al., 2022).</w:t>
      </w:r>
    </w:p>
    <w:p>
      <w:pPr>
        <w:spacing w:line="360" w:lineRule="auto" w:after="120"/>
        <w:ind w:firstLine="709"/>
        <w:jc w:val="both"/>
      </w:pPr>
      <w:r>
        <w:rPr>
          <w:rFonts w:ascii="Times New Roman" w:hAnsi="Times New Roman"/>
          <w:color w:val="000000"/>
          <w:sz w:val="24"/>
        </w:rPr>
        <w:t>En la capa clínica, FHIR proporciona recursos y mecanismos de intercambio que pueden reducir la dependencia de formatos propietarios. Las transformaciones desde documentos o mensajes heredados deben ser reutilizables y auditables, porque un mapeo incorrecto puede alterar la interpretación de una variable social o de un episodio asistencial. Los trabajos sobre transformación hacia FHIR respaldan el uso de perfiles, validación semántica y conservación de procedencia como controles de interoperabilidad (Bossenko et al., 2024).</w:t>
      </w:r>
    </w:p>
    <w:p>
      <w:pPr>
        <w:spacing w:line="360" w:lineRule="auto" w:after="120"/>
        <w:ind w:firstLine="709"/>
        <w:jc w:val="both"/>
      </w:pPr>
      <w:r>
        <w:rPr>
          <w:rFonts w:ascii="Times New Roman" w:hAnsi="Times New Roman"/>
          <w:color w:val="000000"/>
          <w:sz w:val="24"/>
        </w:rPr>
        <w:t>Las implementaciones de DT basadas en simulación de eventos discretos muestran que los cambios de estado en tiempo real pueden alimentar modelos operacionales para evaluar flujos y reasignar recursos. Sin embargo, trasladar este enfoque desde una unidad crítica hacia una captación metropolitana aumenta el número de entidades y la diversidad de escalas temporales. Por ello, SP-5 adopta procesamiento incremental: ante un evento solo se recalculan las zonas, relaciones y métricas afectadas, mientras que los agregados estables se conservan en caché (Kuruppu Appuhamilage et al., 2025).</w:t>
      </w:r>
    </w:p>
    <w:p>
      <w:pPr>
        <w:keepNext/>
        <w:spacing w:before="160" w:after="120"/>
        <w:jc w:val="left"/>
      </w:pPr>
      <w:r>
        <w:rPr>
          <w:rFonts w:ascii="Times New Roman" w:hAnsi="Times New Roman"/>
          <w:b/>
          <w:color w:val="000000"/>
          <w:sz w:val="24"/>
        </w:rPr>
        <w:t>2.3. Integración de SDOH y representación de la vulnerabilidad</w:t>
      </w:r>
    </w:p>
    <w:p>
      <w:pPr>
        <w:spacing w:line="360" w:lineRule="auto" w:after="120"/>
        <w:ind w:firstLine="709"/>
        <w:jc w:val="both"/>
      </w:pPr>
      <w:r>
        <w:rPr>
          <w:rFonts w:ascii="Times New Roman" w:hAnsi="Times New Roman"/>
          <w:color w:val="000000"/>
          <w:sz w:val="24"/>
        </w:rPr>
        <w:t>Los SDOH proceden de fuentes con granularidades diferentes: algunos describen personas o encuentros clínicos; otros representan hogares, vecindarios o jurisdicciones. La normalización no debe ocultar estas diferencias. Los estudios de armonización y ontologías recomiendan identificar el nivel espacial y temporal de cada indicador, registrar su procedencia y aplicar reglas reproducibles para derivar variables comparables (Craven et al., 2024; Dang et al., 2023).</w:t>
      </w:r>
    </w:p>
    <w:p>
      <w:pPr>
        <w:spacing w:line="360" w:lineRule="auto" w:after="120"/>
        <w:ind w:firstLine="709"/>
        <w:jc w:val="both"/>
      </w:pPr>
      <w:r>
        <w:rPr>
          <w:rFonts w:ascii="Times New Roman" w:hAnsi="Times New Roman"/>
          <w:color w:val="000000"/>
          <w:sz w:val="24"/>
        </w:rPr>
        <w:t>La geocodificación permite vincular información clínica con indicadores del vecindario, pero introduce riesgos de error posicional, desactualización y reidentificación. Los pipelines recientes demuestran que es posible automatizar la extracción y el intercambio seguro de variables contextuales si se separan los identificadores, se documentan las transformaciones y se controlan los permisos. SP-5 utiliza estas prácticas para mantener un índice zonal de vulnerabilidad sin exponer identificadores personales en la capa analítica (Pearson et al., 2023; Schappe et al., 2025).</w:t>
      </w:r>
    </w:p>
    <w:p>
      <w:pPr>
        <w:spacing w:line="360" w:lineRule="auto" w:after="120"/>
        <w:ind w:firstLine="709"/>
        <w:jc w:val="both"/>
      </w:pPr>
      <w:r>
        <w:rPr>
          <w:rFonts w:ascii="Times New Roman" w:hAnsi="Times New Roman"/>
          <w:color w:val="000000"/>
          <w:sz w:val="24"/>
        </w:rPr>
        <w:t>La calidad de los datos sociales también depende de la aceptabilidad y completitud de su captura. Una ausencia puede significar que el determinante no fue evaluado, que la persona no respondió o que el sistema no dispone de la variable. Por esta razón, el marco conserva indicadores de cobertura, antigüedad e incertidumbre junto con cada medida, y evita interpretar automáticamente la falta de registro como ausencia de vulnerabilidad (Arroyave Caicedo et al., 2024; Khurshid et al., 2023).</w:t>
      </w:r>
    </w:p>
    <w:p>
      <w:pPr>
        <w:keepNext/>
        <w:spacing w:before="160" w:after="120"/>
        <w:jc w:val="left"/>
      </w:pPr>
      <w:r>
        <w:rPr>
          <w:rFonts w:ascii="Times New Roman" w:hAnsi="Times New Roman"/>
          <w:b/>
          <w:color w:val="000000"/>
          <w:sz w:val="24"/>
        </w:rPr>
        <w:t>2.4. Accesibilidad espacial y áreas de captación</w:t>
      </w:r>
    </w:p>
    <w:p>
      <w:pPr>
        <w:spacing w:line="360" w:lineRule="auto" w:after="120"/>
        <w:ind w:firstLine="709"/>
        <w:jc w:val="both"/>
      </w:pPr>
      <w:r>
        <w:rPr>
          <w:rFonts w:ascii="Times New Roman" w:hAnsi="Times New Roman"/>
          <w:color w:val="000000"/>
          <w:sz w:val="24"/>
        </w:rPr>
        <w:t>Las áreas de captación pueden delimitarse mediante procedencia observada de pacientes, tiempo de viaje o modelos de interacción espacial. Las fronteras administrativas son fáciles de comunicar, pero no siempre representan la movilidad real, la competencia entre proveedores ni las diferencias por modo de transporte. Los métodos de captación flotante incorporan oferta, demanda y fricción de distancia, por lo que resultan adecuados para un marco que debe actualizar la accesibilidad cuando cambian la población, la capacidad o la conectividad (Ab Hamid et al., 2023; Sun et al., 2024).</w:t>
      </w:r>
    </w:p>
    <w:p>
      <w:pPr>
        <w:spacing w:line="360" w:lineRule="auto" w:after="120"/>
        <w:ind w:firstLine="709"/>
        <w:jc w:val="both"/>
      </w:pPr>
      <w:r>
        <w:rPr>
          <w:rFonts w:ascii="Times New Roman" w:hAnsi="Times New Roman"/>
          <w:color w:val="000000"/>
          <w:sz w:val="24"/>
        </w:rPr>
        <w:t>La variante mejorada de área de captación flotante de dos pasos asigna pesos decrecientes a intervalos de tiempo de viaje y permite calcular accesibilidad para grupos poblacionales específicos. Su aplicación con redes viales y distintos modos de transporte evidencia que una misma localidad puede presentar niveles de acceso muy diferentes según el grupo y el medio de desplazamiento. Esta propiedad es relevante para SP-5 porque permite evitar un promedio metropolitano que oculte desigualdades territoriales (Liu et al., 2023; Salvacion, 2022).</w:t>
      </w:r>
    </w:p>
    <w:p>
      <w:pPr>
        <w:spacing w:line="360" w:lineRule="auto" w:after="120"/>
        <w:ind w:firstLine="709"/>
        <w:jc w:val="both"/>
      </w:pPr>
      <w:r>
        <w:rPr>
          <w:rFonts w:ascii="Times New Roman" w:hAnsi="Times New Roman"/>
          <w:color w:val="000000"/>
          <w:sz w:val="24"/>
        </w:rPr>
        <w:t>La automatización geoespacial facilita recalcular indicadores cuando cambian los centros, la capacidad o la demanda. No obstante, una métrica de acceso no equivale por sí sola a equidad: debe interpretarse junto con vulnerabilidad social, riesgo de resultados y suficiencia de recursos. Por ello, SP-5 conserva las dimensiones por separado y genera un índice compuesto únicamente como resumen operacional, acompañado de sus componentes (Hashtarkhani et al., 2024; Pérez-Fernández &amp; Michel, 2025).</w:t>
      </w:r>
    </w:p>
    <w:p>
      <w:pPr>
        <w:keepNext/>
        <w:spacing w:before="160" w:after="120"/>
        <w:jc w:val="left"/>
      </w:pPr>
      <w:r>
        <w:rPr>
          <w:rFonts w:ascii="Times New Roman" w:hAnsi="Times New Roman"/>
          <w:b/>
          <w:color w:val="000000"/>
          <w:sz w:val="24"/>
        </w:rPr>
        <w:t>2.5. Síntesis de la brecha y aporte de SP-5</w:t>
      </w:r>
    </w:p>
    <w:p>
      <w:pPr>
        <w:spacing w:line="360" w:lineRule="auto" w:after="120"/>
        <w:ind w:firstLine="709"/>
        <w:jc w:val="both"/>
      </w:pPr>
      <w:r>
        <w:rPr>
          <w:rFonts w:ascii="Times New Roman" w:hAnsi="Times New Roman"/>
          <w:color w:val="000000"/>
          <w:sz w:val="24"/>
        </w:rPr>
        <w:t>La evidencia revisada aporta componentes maduros de manera aislada: integración de SDOH, intercambio mediante FHIR, análisis de accesibilidad, simulación hospitalaria y arquitecturas de DT. Sin embargo, no se identificó un marco que articule esos componentes para recomputar métricas de equidad en áreas de captación metropolitanas ante cambios de datos y que, al mismo tiempo, defina una prueba explícita de escalabilidad. SP-5 aborda esa brecha mediante una unidad territorial dinámica, un pipeline orientado a eventos y un protocolo de evaluación que vincula cada hipótesis con métricas observables.</w:t>
      </w:r>
    </w:p>
    <w:p>
      <w:pPr>
        <w:keepNext/>
        <w:spacing w:before="120" w:after="80"/>
      </w:pPr>
      <w:r>
        <w:rPr>
          <w:rFonts w:ascii="Times New Roman" w:hAnsi="Times New Roman"/>
          <w:b/>
          <w:color w:val="000000"/>
          <w:sz w:val="20"/>
        </w:rPr>
        <w:t>Tabla 1. Aportes y limitaciones de las diez referencias nuevas incorporadas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80"/>
        <w:gridCol w:w="2880"/>
        <w:gridCol w:w="2880"/>
      </w:tblGrid>
      <w:tr>
        <w:trPr>
          <w:tblHeader w:val="true"/>
        </w:trPr>
        <w:tc>
          <w:tcPr>
            <w:tcW w:type="dxa" w:w="2098"/>
            <w:vAlign w:val="center"/>
            <w:tcMar>
              <w:top w:w="100" w:type="dxa"/>
              <w:start w:w="110" w:type="dxa"/>
              <w:bottom w:w="100" w:type="dxa"/>
              <w:end w:w="110" w:type="dxa"/>
            </w:tcMar>
            <w:shd w:fill="1F4E78"/>
          </w:tcPr>
          <w:p>
            <w:pPr>
              <w:spacing w:after="0"/>
              <w:jc w:val="center"/>
            </w:pPr>
            <w:r>
              <w:rPr>
                <w:rFonts w:ascii="Times New Roman" w:hAnsi="Times New Roman"/>
                <w:b/>
                <w:color w:val="FFFFFF"/>
                <w:sz w:val="18"/>
              </w:rPr>
              <w:t>Estudio</w:t>
            </w:r>
          </w:p>
        </w:tc>
        <w:tc>
          <w:tcPr>
            <w:tcW w:type="dxa" w:w="3742"/>
            <w:vAlign w:val="center"/>
            <w:tcMar>
              <w:top w:w="100" w:type="dxa"/>
              <w:start w:w="110" w:type="dxa"/>
              <w:bottom w:w="100" w:type="dxa"/>
              <w:end w:w="110" w:type="dxa"/>
            </w:tcMar>
            <w:shd w:fill="1F4E78"/>
          </w:tcPr>
          <w:p>
            <w:pPr>
              <w:spacing w:after="0"/>
              <w:jc w:val="center"/>
            </w:pPr>
            <w:r>
              <w:rPr>
                <w:rFonts w:ascii="Times New Roman" w:hAnsi="Times New Roman"/>
                <w:b/>
                <w:color w:val="FFFFFF"/>
                <w:sz w:val="18"/>
              </w:rPr>
              <w:t>Aporte relevante para SP-5</w:t>
            </w:r>
          </w:p>
        </w:tc>
        <w:tc>
          <w:tcPr>
            <w:tcW w:type="dxa" w:w="3061"/>
            <w:vAlign w:val="center"/>
            <w:tcMar>
              <w:top w:w="100" w:type="dxa"/>
              <w:start w:w="110" w:type="dxa"/>
              <w:bottom w:w="100" w:type="dxa"/>
              <w:end w:w="110" w:type="dxa"/>
            </w:tcMar>
            <w:shd w:fill="1F4E78"/>
          </w:tcPr>
          <w:p>
            <w:pPr>
              <w:spacing w:after="0"/>
              <w:jc w:val="center"/>
            </w:pPr>
            <w:r>
              <w:rPr>
                <w:rFonts w:ascii="Times New Roman" w:hAnsi="Times New Roman"/>
                <w:b/>
                <w:color w:val="FFFFFF"/>
                <w:sz w:val="18"/>
              </w:rPr>
              <w:t>Limitación frente al problema</w:t>
            </w:r>
          </w:p>
        </w:tc>
      </w:tr>
      <w:tr>
        <w:tc>
          <w:tcPr>
            <w:tcW w:type="dxa" w:w="2098"/>
            <w:vAlign w:val="center"/>
            <w:tcMar>
              <w:top w:w="100" w:type="dxa"/>
              <w:start w:w="110" w:type="dxa"/>
              <w:bottom w:w="100" w:type="dxa"/>
              <w:end w:w="110" w:type="dxa"/>
            </w:tcMar>
          </w:tcPr>
          <w:p>
            <w:pPr>
              <w:spacing w:after="0" w:line="252" w:lineRule="auto"/>
              <w:jc w:val="center"/>
            </w:pPr>
            <w:r>
              <w:rPr>
                <w:rFonts w:ascii="Times New Roman" w:hAnsi="Times New Roman"/>
                <w:color w:val="000000"/>
                <w:sz w:val="17"/>
              </w:rPr>
              <w:t>Armeni et al. (2022)</w:t>
            </w:r>
          </w:p>
        </w:tc>
        <w:tc>
          <w:tcPr>
            <w:tcW w:type="dxa" w:w="3742"/>
            <w:vAlign w:val="center"/>
            <w:tcMar>
              <w:top w:w="100" w:type="dxa"/>
              <w:start w:w="110" w:type="dxa"/>
              <w:bottom w:w="100" w:type="dxa"/>
              <w:end w:w="110" w:type="dxa"/>
            </w:tcMar>
          </w:tcPr>
          <w:p>
            <w:pPr>
              <w:spacing w:after="0" w:line="252" w:lineRule="auto"/>
              <w:jc w:val="left"/>
            </w:pPr>
            <w:r>
              <w:rPr>
                <w:rFonts w:ascii="Times New Roman" w:hAnsi="Times New Roman"/>
                <w:color w:val="000000"/>
                <w:sz w:val="17"/>
              </w:rPr>
              <w:t>Aplicaciones y barreras de DT en medicina y operaciones hospitalarias.</w:t>
            </w:r>
          </w:p>
        </w:tc>
        <w:tc>
          <w:tcPr>
            <w:tcW w:type="dxa" w:w="3061"/>
            <w:vAlign w:val="center"/>
            <w:tcMar>
              <w:top w:w="100" w:type="dxa"/>
              <w:start w:w="110" w:type="dxa"/>
              <w:bottom w:w="100" w:type="dxa"/>
              <w:end w:w="110" w:type="dxa"/>
            </w:tcMar>
          </w:tcPr>
          <w:p>
            <w:pPr>
              <w:spacing w:after="0" w:line="252" w:lineRule="auto"/>
              <w:jc w:val="left"/>
            </w:pPr>
            <w:r>
              <w:rPr>
                <w:rFonts w:ascii="Times New Roman" w:hAnsi="Times New Roman"/>
                <w:color w:val="000000"/>
                <w:sz w:val="17"/>
              </w:rPr>
              <w:t>No aborda métricas territoriales de equidad.</w:t>
            </w:r>
          </w:p>
        </w:tc>
      </w:tr>
      <w:tr>
        <w:tc>
          <w:tcPr>
            <w:tcW w:type="dxa" w:w="2098"/>
            <w:vAlign w:val="center"/>
            <w:tcMar>
              <w:top w:w="100" w:type="dxa"/>
              <w:start w:w="110" w:type="dxa"/>
              <w:bottom w:w="100" w:type="dxa"/>
              <w:end w:w="110" w:type="dxa"/>
            </w:tcMar>
            <w:shd w:fill="EAF2F8"/>
          </w:tcPr>
          <w:p>
            <w:pPr>
              <w:spacing w:after="0" w:line="252" w:lineRule="auto"/>
              <w:jc w:val="center"/>
            </w:pPr>
            <w:r>
              <w:rPr>
                <w:rFonts w:ascii="Times New Roman" w:hAnsi="Times New Roman"/>
                <w:color w:val="000000"/>
                <w:sz w:val="17"/>
              </w:rPr>
              <w:t>Sun et al. (2022)</w:t>
            </w:r>
          </w:p>
        </w:tc>
        <w:tc>
          <w:tcPr>
            <w:tcW w:type="dxa" w:w="3742"/>
            <w:vAlign w:val="center"/>
            <w:tcMar>
              <w:top w:w="100" w:type="dxa"/>
              <w:start w:w="110" w:type="dxa"/>
              <w:bottom w:w="100" w:type="dxa"/>
              <w:end w:w="110" w:type="dxa"/>
            </w:tcMar>
            <w:shd w:fill="EAF2F8"/>
          </w:tcPr>
          <w:p>
            <w:pPr>
              <w:spacing w:after="0" w:line="252" w:lineRule="auto"/>
              <w:jc w:val="left"/>
            </w:pPr>
            <w:r>
              <w:rPr>
                <w:rFonts w:ascii="Times New Roman" w:hAnsi="Times New Roman"/>
                <w:color w:val="000000"/>
                <w:sz w:val="17"/>
              </w:rPr>
              <w:t>Síntesis de componentes, beneficios y riesgos de DT médicos.</w:t>
            </w:r>
          </w:p>
        </w:tc>
        <w:tc>
          <w:tcPr>
            <w:tcW w:type="dxa" w:w="3061"/>
            <w:vAlign w:val="center"/>
            <w:tcMar>
              <w:top w:w="100" w:type="dxa"/>
              <w:start w:w="110" w:type="dxa"/>
              <w:bottom w:w="100" w:type="dxa"/>
              <w:end w:w="110" w:type="dxa"/>
            </w:tcMar>
            <w:shd w:fill="EAF2F8"/>
          </w:tcPr>
          <w:p>
            <w:pPr>
              <w:spacing w:after="0" w:line="252" w:lineRule="auto"/>
              <w:jc w:val="left"/>
            </w:pPr>
            <w:r>
              <w:rPr>
                <w:rFonts w:ascii="Times New Roman" w:hAnsi="Times New Roman"/>
                <w:color w:val="000000"/>
                <w:sz w:val="17"/>
              </w:rPr>
              <w:t>Predomina la escala individual.</w:t>
            </w:r>
          </w:p>
        </w:tc>
      </w:tr>
      <w:tr>
        <w:tc>
          <w:tcPr>
            <w:tcW w:type="dxa" w:w="2098"/>
            <w:vAlign w:val="center"/>
            <w:tcMar>
              <w:top w:w="100" w:type="dxa"/>
              <w:start w:w="110" w:type="dxa"/>
              <w:bottom w:w="100" w:type="dxa"/>
              <w:end w:w="110" w:type="dxa"/>
            </w:tcMar>
          </w:tcPr>
          <w:p>
            <w:pPr>
              <w:spacing w:after="0" w:line="252" w:lineRule="auto"/>
              <w:jc w:val="center"/>
            </w:pPr>
            <w:r>
              <w:rPr>
                <w:rFonts w:ascii="Times New Roman" w:hAnsi="Times New Roman"/>
                <w:color w:val="000000"/>
                <w:sz w:val="17"/>
              </w:rPr>
              <w:t>Venkatesh et al. (2022)</w:t>
            </w:r>
          </w:p>
        </w:tc>
        <w:tc>
          <w:tcPr>
            <w:tcW w:type="dxa" w:w="3742"/>
            <w:vAlign w:val="center"/>
            <w:tcMar>
              <w:top w:w="100" w:type="dxa"/>
              <w:start w:w="110" w:type="dxa"/>
              <w:bottom w:w="100" w:type="dxa"/>
              <w:end w:w="110" w:type="dxa"/>
            </w:tcMar>
          </w:tcPr>
          <w:p>
            <w:pPr>
              <w:spacing w:after="0" w:line="252" w:lineRule="auto"/>
              <w:jc w:val="left"/>
            </w:pPr>
            <w:r>
              <w:rPr>
                <w:rFonts w:ascii="Times New Roman" w:hAnsi="Times New Roman"/>
                <w:color w:val="000000"/>
                <w:sz w:val="17"/>
              </w:rPr>
              <w:t>Requisitos computacionales, de implementación y regulación.</w:t>
            </w:r>
          </w:p>
        </w:tc>
        <w:tc>
          <w:tcPr>
            <w:tcW w:type="dxa" w:w="3061"/>
            <w:vAlign w:val="center"/>
            <w:tcMar>
              <w:top w:w="100" w:type="dxa"/>
              <w:start w:w="110" w:type="dxa"/>
              <w:bottom w:w="100" w:type="dxa"/>
              <w:end w:w="110" w:type="dxa"/>
            </w:tcMar>
          </w:tcPr>
          <w:p>
            <w:pPr>
              <w:spacing w:after="0" w:line="252" w:lineRule="auto"/>
              <w:jc w:val="left"/>
            </w:pPr>
            <w:r>
              <w:rPr>
                <w:rFonts w:ascii="Times New Roman" w:hAnsi="Times New Roman"/>
                <w:color w:val="000000"/>
                <w:sz w:val="17"/>
              </w:rPr>
              <w:t>No propone una evaluación de captaciones.</w:t>
            </w:r>
          </w:p>
        </w:tc>
      </w:tr>
      <w:tr>
        <w:tc>
          <w:tcPr>
            <w:tcW w:type="dxa" w:w="2098"/>
            <w:vAlign w:val="center"/>
            <w:tcMar>
              <w:top w:w="100" w:type="dxa"/>
              <w:start w:w="110" w:type="dxa"/>
              <w:bottom w:w="100" w:type="dxa"/>
              <w:end w:w="110" w:type="dxa"/>
            </w:tcMar>
            <w:shd w:fill="EAF2F8"/>
          </w:tcPr>
          <w:p>
            <w:pPr>
              <w:spacing w:after="0" w:line="252" w:lineRule="auto"/>
              <w:jc w:val="center"/>
            </w:pPr>
            <w:r>
              <w:rPr>
                <w:rFonts w:ascii="Times New Roman" w:hAnsi="Times New Roman"/>
                <w:color w:val="000000"/>
                <w:sz w:val="17"/>
              </w:rPr>
              <w:t>Domínguez-Bolaño et al. (2022)</w:t>
            </w:r>
          </w:p>
        </w:tc>
        <w:tc>
          <w:tcPr>
            <w:tcW w:type="dxa" w:w="3742"/>
            <w:vAlign w:val="center"/>
            <w:tcMar>
              <w:top w:w="100" w:type="dxa"/>
              <w:start w:w="110" w:type="dxa"/>
              <w:bottom w:w="100" w:type="dxa"/>
              <w:end w:w="110" w:type="dxa"/>
            </w:tcMar>
            <w:shd w:fill="EAF2F8"/>
          </w:tcPr>
          <w:p>
            <w:pPr>
              <w:spacing w:after="0" w:line="252" w:lineRule="auto"/>
              <w:jc w:val="left"/>
            </w:pPr>
            <w:r>
              <w:rPr>
                <w:rFonts w:ascii="Times New Roman" w:hAnsi="Times New Roman"/>
                <w:color w:val="000000"/>
                <w:sz w:val="17"/>
              </w:rPr>
              <w:t>Arquitecturas y protocolos para integrar plataformas IoT heterogéneas.</w:t>
            </w:r>
          </w:p>
        </w:tc>
        <w:tc>
          <w:tcPr>
            <w:tcW w:type="dxa" w:w="3061"/>
            <w:vAlign w:val="center"/>
            <w:tcMar>
              <w:top w:w="100" w:type="dxa"/>
              <w:start w:w="110" w:type="dxa"/>
              <w:bottom w:w="100" w:type="dxa"/>
              <w:end w:w="110" w:type="dxa"/>
            </w:tcMar>
            <w:shd w:fill="EAF2F8"/>
          </w:tcPr>
          <w:p>
            <w:pPr>
              <w:spacing w:after="0" w:line="252" w:lineRule="auto"/>
              <w:jc w:val="left"/>
            </w:pPr>
            <w:r>
              <w:rPr>
                <w:rFonts w:ascii="Times New Roman" w:hAnsi="Times New Roman"/>
                <w:color w:val="000000"/>
                <w:sz w:val="17"/>
              </w:rPr>
              <w:t>No se centra en salud ni SDOH.</w:t>
            </w:r>
          </w:p>
        </w:tc>
      </w:tr>
      <w:tr>
        <w:tc>
          <w:tcPr>
            <w:tcW w:type="dxa" w:w="2098"/>
            <w:vAlign w:val="center"/>
            <w:tcMar>
              <w:top w:w="100" w:type="dxa"/>
              <w:start w:w="110" w:type="dxa"/>
              <w:bottom w:w="100" w:type="dxa"/>
              <w:end w:w="110" w:type="dxa"/>
            </w:tcMar>
          </w:tcPr>
          <w:p>
            <w:pPr>
              <w:spacing w:after="0" w:line="252" w:lineRule="auto"/>
              <w:jc w:val="center"/>
            </w:pPr>
            <w:r>
              <w:rPr>
                <w:rFonts w:ascii="Times New Roman" w:hAnsi="Times New Roman"/>
                <w:color w:val="000000"/>
                <w:sz w:val="17"/>
              </w:rPr>
              <w:t>Salvacion (2022)</w:t>
            </w:r>
          </w:p>
        </w:tc>
        <w:tc>
          <w:tcPr>
            <w:tcW w:type="dxa" w:w="3742"/>
            <w:vAlign w:val="center"/>
            <w:tcMar>
              <w:top w:w="100" w:type="dxa"/>
              <w:start w:w="110" w:type="dxa"/>
              <w:bottom w:w="100" w:type="dxa"/>
              <w:end w:w="110" w:type="dxa"/>
            </w:tcMar>
          </w:tcPr>
          <w:p>
            <w:pPr>
              <w:spacing w:after="0" w:line="252" w:lineRule="auto"/>
              <w:jc w:val="left"/>
            </w:pPr>
            <w:r>
              <w:rPr>
                <w:rFonts w:ascii="Times New Roman" w:hAnsi="Times New Roman"/>
                <w:color w:val="000000"/>
                <w:sz w:val="17"/>
              </w:rPr>
              <w:t>E2SFCA por grupos poblacionales y modos de transporte.</w:t>
            </w:r>
          </w:p>
        </w:tc>
        <w:tc>
          <w:tcPr>
            <w:tcW w:type="dxa" w:w="3061"/>
            <w:vAlign w:val="center"/>
            <w:tcMar>
              <w:top w:w="100" w:type="dxa"/>
              <w:start w:w="110" w:type="dxa"/>
              <w:bottom w:w="100" w:type="dxa"/>
              <w:end w:w="110" w:type="dxa"/>
            </w:tcMar>
          </w:tcPr>
          <w:p>
            <w:pPr>
              <w:spacing w:after="0" w:line="252" w:lineRule="auto"/>
              <w:jc w:val="left"/>
            </w:pPr>
            <w:r>
              <w:rPr>
                <w:rFonts w:ascii="Times New Roman" w:hAnsi="Times New Roman"/>
                <w:color w:val="000000"/>
                <w:sz w:val="17"/>
              </w:rPr>
              <w:t>Análisis espacial estático.</w:t>
            </w:r>
          </w:p>
        </w:tc>
      </w:tr>
      <w:tr>
        <w:tc>
          <w:tcPr>
            <w:tcW w:type="dxa" w:w="2098"/>
            <w:vAlign w:val="center"/>
            <w:tcMar>
              <w:top w:w="100" w:type="dxa"/>
              <w:start w:w="110" w:type="dxa"/>
              <w:bottom w:w="100" w:type="dxa"/>
              <w:end w:w="110" w:type="dxa"/>
            </w:tcMar>
            <w:shd w:fill="EAF2F8"/>
          </w:tcPr>
          <w:p>
            <w:pPr>
              <w:spacing w:after="0" w:line="252" w:lineRule="auto"/>
              <w:jc w:val="center"/>
            </w:pPr>
            <w:r>
              <w:rPr>
                <w:rFonts w:ascii="Times New Roman" w:hAnsi="Times New Roman"/>
                <w:color w:val="000000"/>
                <w:sz w:val="17"/>
              </w:rPr>
              <w:t>Wu et al. (2023)</w:t>
            </w:r>
          </w:p>
        </w:tc>
        <w:tc>
          <w:tcPr>
            <w:tcW w:type="dxa" w:w="3742"/>
            <w:vAlign w:val="center"/>
            <w:tcMar>
              <w:top w:w="100" w:type="dxa"/>
              <w:start w:w="110" w:type="dxa"/>
              <w:bottom w:w="100" w:type="dxa"/>
              <w:end w:w="110" w:type="dxa"/>
            </w:tcMar>
            <w:shd w:fill="EAF2F8"/>
          </w:tcPr>
          <w:p>
            <w:pPr>
              <w:spacing w:after="0" w:line="252" w:lineRule="auto"/>
              <w:jc w:val="left"/>
            </w:pPr>
            <w:r>
              <w:rPr>
                <w:rFonts w:ascii="Times New Roman" w:hAnsi="Times New Roman"/>
                <w:color w:val="000000"/>
                <w:sz w:val="17"/>
              </w:rPr>
              <w:t>Visión del ciclo completo de datos, modelos, redes y aplicaciones.</w:t>
            </w:r>
          </w:p>
        </w:tc>
        <w:tc>
          <w:tcPr>
            <w:tcW w:type="dxa" w:w="3061"/>
            <w:vAlign w:val="center"/>
            <w:tcMar>
              <w:top w:w="100" w:type="dxa"/>
              <w:start w:w="110" w:type="dxa"/>
              <w:bottom w:w="100" w:type="dxa"/>
              <w:end w:w="110" w:type="dxa"/>
            </w:tcMar>
            <w:shd w:fill="EAF2F8"/>
          </w:tcPr>
          <w:p>
            <w:pPr>
              <w:spacing w:after="0" w:line="252" w:lineRule="auto"/>
              <w:jc w:val="left"/>
            </w:pPr>
            <w:r>
              <w:rPr>
                <w:rFonts w:ascii="Times New Roman" w:hAnsi="Times New Roman"/>
                <w:color w:val="000000"/>
                <w:sz w:val="17"/>
              </w:rPr>
              <w:t>Marco general, no sanitario.</w:t>
            </w:r>
          </w:p>
        </w:tc>
      </w:tr>
      <w:tr>
        <w:tc>
          <w:tcPr>
            <w:tcW w:type="dxa" w:w="2098"/>
            <w:vAlign w:val="center"/>
            <w:tcMar>
              <w:top w:w="100" w:type="dxa"/>
              <w:start w:w="110" w:type="dxa"/>
              <w:bottom w:w="100" w:type="dxa"/>
              <w:end w:w="110" w:type="dxa"/>
            </w:tcMar>
          </w:tcPr>
          <w:p>
            <w:pPr>
              <w:spacing w:after="0" w:line="252" w:lineRule="auto"/>
              <w:jc w:val="center"/>
            </w:pPr>
            <w:r>
              <w:rPr>
                <w:rFonts w:ascii="Times New Roman" w:hAnsi="Times New Roman"/>
                <w:color w:val="000000"/>
                <w:sz w:val="17"/>
              </w:rPr>
              <w:t>Papachristou et al. (2024)</w:t>
            </w:r>
          </w:p>
        </w:tc>
        <w:tc>
          <w:tcPr>
            <w:tcW w:type="dxa" w:w="3742"/>
            <w:vAlign w:val="center"/>
            <w:tcMar>
              <w:top w:w="100" w:type="dxa"/>
              <w:start w:w="110" w:type="dxa"/>
              <w:bottom w:w="100" w:type="dxa"/>
              <w:end w:w="110" w:type="dxa"/>
            </w:tcMar>
          </w:tcPr>
          <w:p>
            <w:pPr>
              <w:spacing w:after="0" w:line="252" w:lineRule="auto"/>
              <w:jc w:val="left"/>
            </w:pPr>
            <w:r>
              <w:rPr>
                <w:rFonts w:ascii="Times New Roman" w:hAnsi="Times New Roman"/>
                <w:color w:val="000000"/>
                <w:sz w:val="17"/>
              </w:rPr>
              <w:t>Actualización bidireccional, datos históricos y tiempo real.</w:t>
            </w:r>
          </w:p>
        </w:tc>
        <w:tc>
          <w:tcPr>
            <w:tcW w:type="dxa" w:w="3061"/>
            <w:vAlign w:val="center"/>
            <w:tcMar>
              <w:top w:w="100" w:type="dxa"/>
              <w:start w:w="110" w:type="dxa"/>
              <w:bottom w:w="100" w:type="dxa"/>
              <w:end w:w="110" w:type="dxa"/>
            </w:tcMar>
          </w:tcPr>
          <w:p>
            <w:pPr>
              <w:spacing w:after="0" w:line="252" w:lineRule="auto"/>
              <w:jc w:val="left"/>
            </w:pPr>
            <w:r>
              <w:rPr>
                <w:rFonts w:ascii="Times New Roman" w:hAnsi="Times New Roman"/>
                <w:color w:val="000000"/>
                <w:sz w:val="17"/>
              </w:rPr>
              <w:t>Énfasis en precisión individual.</w:t>
            </w:r>
          </w:p>
        </w:tc>
      </w:tr>
      <w:tr>
        <w:tc>
          <w:tcPr>
            <w:tcW w:type="dxa" w:w="2098"/>
            <w:vAlign w:val="center"/>
            <w:tcMar>
              <w:top w:w="100" w:type="dxa"/>
              <w:start w:w="110" w:type="dxa"/>
              <w:bottom w:w="100" w:type="dxa"/>
              <w:end w:w="110" w:type="dxa"/>
            </w:tcMar>
            <w:shd w:fill="EAF2F8"/>
          </w:tcPr>
          <w:p>
            <w:pPr>
              <w:spacing w:after="0" w:line="252" w:lineRule="auto"/>
              <w:jc w:val="center"/>
            </w:pPr>
            <w:r>
              <w:rPr>
                <w:rFonts w:ascii="Times New Roman" w:hAnsi="Times New Roman"/>
                <w:color w:val="000000"/>
                <w:sz w:val="17"/>
              </w:rPr>
              <w:t>Zhang et al. (2024)</w:t>
            </w:r>
          </w:p>
        </w:tc>
        <w:tc>
          <w:tcPr>
            <w:tcW w:type="dxa" w:w="3742"/>
            <w:vAlign w:val="center"/>
            <w:tcMar>
              <w:top w:w="100" w:type="dxa"/>
              <w:start w:w="110" w:type="dxa"/>
              <w:bottom w:w="100" w:type="dxa"/>
              <w:end w:w="110" w:type="dxa"/>
            </w:tcMar>
            <w:shd w:fill="EAF2F8"/>
          </w:tcPr>
          <w:p>
            <w:pPr>
              <w:spacing w:after="0" w:line="252" w:lineRule="auto"/>
              <w:jc w:val="left"/>
            </w:pPr>
            <w:r>
              <w:rPr>
                <w:rFonts w:ascii="Times New Roman" w:hAnsi="Times New Roman"/>
                <w:color w:val="000000"/>
                <w:sz w:val="17"/>
              </w:rPr>
              <w:t>Requisitos multimodales, IA y retos técnicos y éticos.</w:t>
            </w:r>
          </w:p>
        </w:tc>
        <w:tc>
          <w:tcPr>
            <w:tcW w:type="dxa" w:w="3061"/>
            <w:vAlign w:val="center"/>
            <w:tcMar>
              <w:top w:w="100" w:type="dxa"/>
              <w:start w:w="110" w:type="dxa"/>
              <w:bottom w:w="100" w:type="dxa"/>
              <w:end w:w="110" w:type="dxa"/>
            </w:tcMar>
            <w:shd w:fill="EAF2F8"/>
          </w:tcPr>
          <w:p>
            <w:pPr>
              <w:spacing w:after="0" w:line="252" w:lineRule="auto"/>
              <w:jc w:val="left"/>
            </w:pPr>
            <w:r>
              <w:rPr>
                <w:rFonts w:ascii="Times New Roman" w:hAnsi="Times New Roman"/>
                <w:color w:val="000000"/>
                <w:sz w:val="17"/>
              </w:rPr>
              <w:t>No operacionaliza equidad territorial.</w:t>
            </w:r>
          </w:p>
        </w:tc>
      </w:tr>
      <w:tr>
        <w:tc>
          <w:tcPr>
            <w:tcW w:type="dxa" w:w="2098"/>
            <w:vAlign w:val="center"/>
            <w:tcMar>
              <w:top w:w="100" w:type="dxa"/>
              <w:start w:w="110" w:type="dxa"/>
              <w:bottom w:w="100" w:type="dxa"/>
              <w:end w:w="110" w:type="dxa"/>
            </w:tcMar>
          </w:tcPr>
          <w:p>
            <w:pPr>
              <w:spacing w:after="0" w:line="252" w:lineRule="auto"/>
              <w:jc w:val="center"/>
            </w:pPr>
            <w:r>
              <w:rPr>
                <w:rFonts w:ascii="Times New Roman" w:hAnsi="Times New Roman"/>
                <w:color w:val="000000"/>
                <w:sz w:val="17"/>
              </w:rPr>
              <w:t>Kuruppu Appuhamilage et al. (2025)</w:t>
            </w:r>
          </w:p>
        </w:tc>
        <w:tc>
          <w:tcPr>
            <w:tcW w:type="dxa" w:w="3742"/>
            <w:vAlign w:val="center"/>
            <w:tcMar>
              <w:top w:w="100" w:type="dxa"/>
              <w:start w:w="110" w:type="dxa"/>
              <w:bottom w:w="100" w:type="dxa"/>
              <w:end w:w="110" w:type="dxa"/>
            </w:tcMar>
          </w:tcPr>
          <w:p>
            <w:pPr>
              <w:spacing w:after="0" w:line="252" w:lineRule="auto"/>
              <w:jc w:val="left"/>
            </w:pPr>
            <w:r>
              <w:rPr>
                <w:rFonts w:ascii="Times New Roman" w:hAnsi="Times New Roman"/>
                <w:color w:val="000000"/>
                <w:sz w:val="17"/>
              </w:rPr>
              <w:t>DT y simulación de eventos discretos para flujos críticos.</w:t>
            </w:r>
          </w:p>
        </w:tc>
        <w:tc>
          <w:tcPr>
            <w:tcW w:type="dxa" w:w="3061"/>
            <w:vAlign w:val="center"/>
            <w:tcMar>
              <w:top w:w="100" w:type="dxa"/>
              <w:start w:w="110" w:type="dxa"/>
              <w:bottom w:w="100" w:type="dxa"/>
              <w:end w:w="110" w:type="dxa"/>
            </w:tcMar>
          </w:tcPr>
          <w:p>
            <w:pPr>
              <w:spacing w:after="0" w:line="252" w:lineRule="auto"/>
              <w:jc w:val="left"/>
            </w:pPr>
            <w:r>
              <w:rPr>
                <w:rFonts w:ascii="Times New Roman" w:hAnsi="Times New Roman"/>
                <w:color w:val="000000"/>
                <w:sz w:val="17"/>
              </w:rPr>
              <w:t>Escala de unidad hospitalaria.</w:t>
            </w:r>
          </w:p>
        </w:tc>
      </w:tr>
      <w:tr>
        <w:tc>
          <w:tcPr>
            <w:tcW w:type="dxa" w:w="2098"/>
            <w:vAlign w:val="center"/>
            <w:tcMar>
              <w:top w:w="100" w:type="dxa"/>
              <w:start w:w="110" w:type="dxa"/>
              <w:bottom w:w="100" w:type="dxa"/>
              <w:end w:w="110" w:type="dxa"/>
            </w:tcMar>
            <w:shd w:fill="EAF2F8"/>
          </w:tcPr>
          <w:p>
            <w:pPr>
              <w:spacing w:after="0" w:line="252" w:lineRule="auto"/>
              <w:jc w:val="center"/>
            </w:pPr>
            <w:r>
              <w:rPr>
                <w:rFonts w:ascii="Times New Roman" w:hAnsi="Times New Roman"/>
                <w:color w:val="000000"/>
                <w:sz w:val="17"/>
              </w:rPr>
              <w:t>Ringeval et al. (2025)</w:t>
            </w:r>
          </w:p>
        </w:tc>
        <w:tc>
          <w:tcPr>
            <w:tcW w:type="dxa" w:w="3742"/>
            <w:vAlign w:val="center"/>
            <w:tcMar>
              <w:top w:w="100" w:type="dxa"/>
              <w:start w:w="110" w:type="dxa"/>
              <w:bottom w:w="100" w:type="dxa"/>
              <w:end w:w="110" w:type="dxa"/>
            </w:tcMar>
            <w:shd w:fill="EAF2F8"/>
          </w:tcPr>
          <w:p>
            <w:pPr>
              <w:spacing w:after="0" w:line="252" w:lineRule="auto"/>
              <w:jc w:val="left"/>
            </w:pPr>
            <w:r>
              <w:rPr>
                <w:rFonts w:ascii="Times New Roman" w:hAnsi="Times New Roman"/>
                <w:color w:val="000000"/>
                <w:sz w:val="17"/>
              </w:rPr>
              <w:t>Brechas de escalabilidad, interoperabilidad y validación.</w:t>
            </w:r>
          </w:p>
        </w:tc>
        <w:tc>
          <w:tcPr>
            <w:tcW w:type="dxa" w:w="3061"/>
            <w:vAlign w:val="center"/>
            <w:tcMar>
              <w:top w:w="100" w:type="dxa"/>
              <w:start w:w="110" w:type="dxa"/>
              <w:bottom w:w="100" w:type="dxa"/>
              <w:end w:w="110" w:type="dxa"/>
            </w:tcMar>
            <w:shd w:fill="EAF2F8"/>
          </w:tcPr>
          <w:p>
            <w:pPr>
              <w:spacing w:after="0" w:line="252" w:lineRule="auto"/>
              <w:jc w:val="left"/>
            </w:pPr>
            <w:r>
              <w:rPr>
                <w:rFonts w:ascii="Times New Roman" w:hAnsi="Times New Roman"/>
                <w:color w:val="000000"/>
                <w:sz w:val="17"/>
              </w:rPr>
              <w:t>Metarrevisión sin arquitectura de captación.</w:t>
            </w:r>
          </w:p>
        </w:tc>
      </w:tr>
    </w:tbl>
    <w:p>
      <w:pPr>
        <w:spacing w:after="40"/>
      </w:pPr>
    </w:p>
    <w:p>
      <w:pPr>
        <w:keepNext/>
        <w:spacing w:before="240" w:after="120"/>
        <w:jc w:val="left"/>
      </w:pPr>
      <w:r>
        <w:rPr>
          <w:rFonts w:ascii="Times New Roman" w:hAnsi="Times New Roman"/>
          <w:b/>
          <w:color w:val="000000"/>
          <w:sz w:val="24"/>
        </w:rPr>
        <w:t>3. MÉTODOS</w:t>
      </w:r>
    </w:p>
    <w:p>
      <w:pPr>
        <w:keepNext/>
        <w:spacing w:before="160" w:after="120"/>
        <w:jc w:val="left"/>
      </w:pPr>
      <w:r>
        <w:rPr>
          <w:rFonts w:ascii="Times New Roman" w:hAnsi="Times New Roman"/>
          <w:b/>
          <w:color w:val="000000"/>
          <w:sz w:val="24"/>
        </w:rPr>
        <w:t>3.1. Diseño de la investigación</w:t>
      </w:r>
    </w:p>
    <w:p>
      <w:pPr>
        <w:spacing w:line="360" w:lineRule="auto" w:after="120"/>
        <w:ind w:firstLine="709"/>
        <w:jc w:val="both"/>
      </w:pPr>
      <w:r>
        <w:rPr>
          <w:rFonts w:ascii="Times New Roman" w:hAnsi="Times New Roman"/>
          <w:color w:val="000000"/>
          <w:sz w:val="24"/>
        </w:rPr>
        <w:t>Se adoptó un enfoque de ciencia del diseño con evaluación basada en simulación. El artefacto de investigación es el marco SP-5 y sus productos verificables son: a) un modelo socioespacial del área de captación; b) una arquitectura lógica de tres capas; c) un esquema canónico de eventos; d) un conjunto de métricas de equidad; y e) un protocolo de pruebas de validez y rendimiento. Esta etapa no utiliza historias clínicas reales ni pretende demostrar efectividad clínica. Su propósito es establecer si la arquitectura puede representar el problema, procesar actualizaciones y producir indicadores reproducibles antes de una validación institucional.</w:t>
      </w:r>
    </w:p>
    <w:p>
      <w:pPr>
        <w:spacing w:line="360" w:lineRule="auto" w:after="120"/>
        <w:ind w:firstLine="709"/>
        <w:jc w:val="both"/>
      </w:pPr>
      <w:r>
        <w:rPr>
          <w:rFonts w:ascii="Times New Roman" w:hAnsi="Times New Roman"/>
          <w:color w:val="000000"/>
          <w:sz w:val="24"/>
        </w:rPr>
        <w:t>El procedimiento comprende cinco fases iterativas: definición de requisitos, diseño conceptual, especificación de datos e interoperabilidad, construcción de escenarios sintéticos y evaluación. Los requisitos se derivaron de la brecha identificada en la literatura: heterogeneidad de fuentes, desajuste temporal, necesidad de análisis espacial, protección de datos y escalabilidad. Las decisiones del diseño se documentarán en un registro de versiones para que cualquier modificación de una variable, peso o umbral pueda rastrearse hasta el resultado que produjo.</w:t>
      </w:r>
    </w:p>
    <w:p>
      <w:pPr>
        <w:keepNext/>
        <w:spacing w:before="160" w:after="120"/>
        <w:jc w:val="left"/>
      </w:pPr>
      <w:r>
        <w:rPr>
          <w:rFonts w:ascii="Times New Roman" w:hAnsi="Times New Roman"/>
          <w:b/>
          <w:color w:val="000000"/>
          <w:sz w:val="24"/>
        </w:rPr>
        <w:t>3.2. Unidad de análisis y alcance</w:t>
      </w:r>
    </w:p>
    <w:p>
      <w:pPr>
        <w:spacing w:line="360" w:lineRule="auto" w:after="120"/>
        <w:ind w:firstLine="709"/>
        <w:jc w:val="both"/>
      </w:pPr>
      <w:r>
        <w:rPr>
          <w:rFonts w:ascii="Times New Roman" w:hAnsi="Times New Roman"/>
          <w:color w:val="000000"/>
          <w:sz w:val="24"/>
        </w:rPr>
        <w:t>La unidad primaria de análisis será la zona estadística dentro de un área de captación hospitalaria metropolitana sintética. Cada zona contendrá población total y por grupos, indicadores de los cinco dominios de SDOH, tiempos de viaje hacia establecimientos, utilización esperada, riesgo de resultados adversos y estado de recursos. La unidad temporal será el evento: una actualización ambiental, social, clínica agregada u operacional capaz de modificar al menos un estado del gemelo.</w:t>
      </w:r>
    </w:p>
    <w:p>
      <w:pPr>
        <w:spacing w:line="360" w:lineRule="auto" w:after="120"/>
        <w:ind w:firstLine="709"/>
        <w:jc w:val="both"/>
      </w:pPr>
      <w:r>
        <w:rPr>
          <w:rFonts w:ascii="Times New Roman" w:hAnsi="Times New Roman"/>
          <w:color w:val="000000"/>
          <w:sz w:val="24"/>
        </w:rPr>
        <w:t>Se evaluarán cuatro tamaños poblacionales: 50,000, 100,000, 250,000 y 500,000 habitantes. El número de zonas y establecimientos crecerá con la población para evitar una prueba de escalabilidad basada solo en duplicar personas dentro de una geometría constante. El límite superior responde al alcance declarado en H3; no representa el tamaño máximo posible del sistema, sino el dominio que será sometido a verificación en esta fase.</w:t>
      </w:r>
    </w:p>
    <w:p>
      <w:pPr>
        <w:keepNext/>
        <w:spacing w:before="160" w:after="120"/>
        <w:jc w:val="left"/>
      </w:pPr>
      <w:r>
        <w:rPr>
          <w:rFonts w:ascii="Times New Roman" w:hAnsi="Times New Roman"/>
          <w:b/>
          <w:color w:val="000000"/>
          <w:sz w:val="24"/>
        </w:rPr>
        <w:t>3.3. Arquitectura SP-5</w:t>
      </w:r>
    </w:p>
    <w:p>
      <w:pPr>
        <w:spacing w:line="360" w:lineRule="auto" w:after="120"/>
        <w:ind w:firstLine="709"/>
        <w:jc w:val="both"/>
      </w:pPr>
      <w:r>
        <w:rPr>
          <w:rFonts w:ascii="Times New Roman" w:hAnsi="Times New Roman"/>
          <w:color w:val="000000"/>
          <w:sz w:val="24"/>
        </w:rPr>
        <w:t>La capa 1, sensado físico y fuentes, recibirá eventos de sensores ambientales, sistemas de información hospitalaria, registros electrónicos, fuentes territoriales y actualizaciones censales. Cada adaptador convertirá el dato original en un evento con identificador de fuente, marca temporal de observación, marca temporal de ingestión, ubicación o zona, tipo de variable, valor, unidad y nivel de calidad. Los eventos inválidos se enviarán a una cola de revisión sin interrumpir el flujo principal.</w:t>
      </w:r>
    </w:p>
    <w:p>
      <w:pPr>
        <w:spacing w:line="360" w:lineRule="auto" w:after="120"/>
        <w:ind w:firstLine="709"/>
        <w:jc w:val="both"/>
      </w:pPr>
      <w:r>
        <w:rPr>
          <w:rFonts w:ascii="Times New Roman" w:hAnsi="Times New Roman"/>
          <w:color w:val="000000"/>
          <w:sz w:val="24"/>
        </w:rPr>
        <w:t>La capa 2, integración digital, realizará validación estructural, normalización de unidades, resolución espacial, seudonimización cuando corresponda, control de duplicados y persistencia. Un modelo canónico separará entidades relativamente estables, como zonas y establecimientos, de estados que cambian con frecuencia, como disponibilidad de camas, tiempos de viaje o concentraciones ambientales. Para las fuentes clínicas se definirán perfiles FHIR de Patient seudonimizado, Encounter, Observation, Condition, Location, HealthcareService y MeasureReport; la transformación conservará procedencia y versión (Bossenko et al., 2024).</w:t>
      </w:r>
    </w:p>
    <w:p>
      <w:pPr>
        <w:spacing w:line="360" w:lineRule="auto" w:after="120"/>
        <w:ind w:firstLine="709"/>
        <w:jc w:val="both"/>
      </w:pPr>
      <w:r>
        <w:rPr>
          <w:rFonts w:ascii="Times New Roman" w:hAnsi="Times New Roman"/>
          <w:color w:val="000000"/>
          <w:sz w:val="24"/>
        </w:rPr>
        <w:t>La capa 3, simulación y analítica, mantendrá el estado del gemelo, calculará accesibilidad y vulnerabilidad, estimará riesgo y evaluará escenarios de asignación de recursos. El motor trabajará de forma incremental: un cambio de capacidad en un establecimiento actualizará las zonas dentro de su umbral de viaje, mientras que una actualización de un indicador social afectará solo a la zona correspondiente y a sus agregados. Este patrón reduce recálculos innecesarios y sigue la lógica de actualización y retroalimentación descrita para DT orientados por datos (Wu et al., 2023).</w:t>
      </w:r>
    </w:p>
    <w:p>
      <w:pPr>
        <w:keepNext/>
        <w:spacing w:before="160" w:after="120"/>
        <w:jc w:val="left"/>
      </w:pPr>
      <w:r>
        <w:rPr>
          <w:rFonts w:ascii="Times New Roman" w:hAnsi="Times New Roman"/>
          <w:b/>
          <w:color w:val="000000"/>
          <w:sz w:val="24"/>
        </w:rPr>
        <w:t>3.4. Datos sintéticos y generación de escenarios</w:t>
      </w:r>
    </w:p>
    <w:p>
      <w:pPr>
        <w:spacing w:line="360" w:lineRule="auto" w:after="120"/>
        <w:ind w:firstLine="709"/>
        <w:jc w:val="both"/>
      </w:pPr>
      <w:r>
        <w:rPr>
          <w:rFonts w:ascii="Times New Roman" w:hAnsi="Times New Roman"/>
          <w:color w:val="000000"/>
          <w:sz w:val="24"/>
        </w:rPr>
        <w:t>Los escenarios se generarán con una semilla fija de 2026. Primero se crearán centroides zonales y una red de desplazamiento conectada; después se distribuirá la población mediante una superficie de densidad con mayor concentración en el núcleo urbano. Los cinco dominios de SDOH se producirán a partir de variables latentes correlacionadas y se transformarán a una escala de 0 a 1. Se aplicará un componente de autocorrelación espacial mediante el promedio ponderado de zonas vecinas, con el fin de obtener agrupamientos plausibles sin copiar una ciudad real.</w:t>
      </w:r>
    </w:p>
    <w:p>
      <w:pPr>
        <w:spacing w:line="360" w:lineRule="auto" w:after="120"/>
        <w:ind w:firstLine="709"/>
        <w:jc w:val="both"/>
      </w:pPr>
      <w:r>
        <w:rPr>
          <w:rFonts w:ascii="Times New Roman" w:hAnsi="Times New Roman"/>
          <w:color w:val="000000"/>
          <w:sz w:val="24"/>
        </w:rPr>
        <w:t>La demanda asistencial se simulará como un proceso de Poisson no homogéneo cuya intensidad dependerá de población, vulnerabilidad, estacionalidad y riesgo basal. La elección del establecimiento seguirá una función gravitacional que combinará capacidad y tiempo de viaje. Los resultados adversos se generarán con una función logística conocida de vulnerabilidad, accesibilidad y saturación. Al conservar los parámetros verdaderos de generación será posible evaluar si el modelo dinámico recupera mejor los patrones de flujo y riesgo que una captación estática.</w:t>
      </w:r>
    </w:p>
    <w:p>
      <w:pPr>
        <w:spacing w:line="360" w:lineRule="auto" w:after="120"/>
        <w:ind w:firstLine="709"/>
        <w:jc w:val="both"/>
      </w:pPr>
      <w:r>
        <w:rPr>
          <w:rFonts w:ascii="Times New Roman" w:hAnsi="Times New Roman"/>
          <w:color w:val="000000"/>
          <w:sz w:val="24"/>
        </w:rPr>
        <w:t>Cada escenario incluirá tres niveles de presión operacional: normal, demanda elevada y perturbación. La perturbación combinará cierre parcial de un establecimiento, aumento localizado de un factor ambiental y reducción temporal de conectividad vial. Además, se probarán tasas de 10, 100 y 500 eventos por segundo para separar el efecto del tamaño poblacional del efecto de la velocidad de actualización. Cada combinación se repetirá 30 veces con semillas derivadas de la semilla principal.</w:t>
      </w:r>
    </w:p>
    <w:p>
      <w:pPr>
        <w:keepNext/>
        <w:spacing w:before="120" w:after="80"/>
      </w:pPr>
      <w:r>
        <w:rPr>
          <w:rFonts w:ascii="Times New Roman" w:hAnsi="Times New Roman"/>
          <w:b/>
          <w:color w:val="000000"/>
          <w:sz w:val="20"/>
        </w:rPr>
        <w:t>Tabla 2. Diseño factorial de la evaluación por simulación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80"/>
        <w:gridCol w:w="2880"/>
        <w:gridCol w:w="2880"/>
      </w:tblGrid>
      <w:tr>
        <w:trPr>
          <w:tblHeader w:val="true"/>
        </w:trPr>
        <w:tc>
          <w:tcPr>
            <w:tcW w:type="dxa" w:w="2041"/>
            <w:vAlign w:val="center"/>
            <w:tcMar>
              <w:top w:w="100" w:type="dxa"/>
              <w:start w:w="110" w:type="dxa"/>
              <w:bottom w:w="100" w:type="dxa"/>
              <w:end w:w="110" w:type="dxa"/>
            </w:tcMar>
            <w:shd w:fill="1F4E78"/>
          </w:tcPr>
          <w:p>
            <w:pPr>
              <w:spacing w:after="0"/>
              <w:jc w:val="center"/>
            </w:pPr>
            <w:r>
              <w:rPr>
                <w:rFonts w:ascii="Times New Roman" w:hAnsi="Times New Roman"/>
                <w:b/>
                <w:color w:val="FFFFFF"/>
                <w:sz w:val="18"/>
              </w:rPr>
              <w:t>Factor</w:t>
            </w:r>
          </w:p>
        </w:tc>
        <w:tc>
          <w:tcPr>
            <w:tcW w:type="dxa" w:w="3118"/>
            <w:vAlign w:val="center"/>
            <w:tcMar>
              <w:top w:w="100" w:type="dxa"/>
              <w:start w:w="110" w:type="dxa"/>
              <w:bottom w:w="100" w:type="dxa"/>
              <w:end w:w="110" w:type="dxa"/>
            </w:tcMar>
            <w:shd w:fill="1F4E78"/>
          </w:tcPr>
          <w:p>
            <w:pPr>
              <w:spacing w:after="0"/>
              <w:jc w:val="center"/>
            </w:pPr>
            <w:r>
              <w:rPr>
                <w:rFonts w:ascii="Times New Roman" w:hAnsi="Times New Roman"/>
                <w:b/>
                <w:color w:val="FFFFFF"/>
                <w:sz w:val="18"/>
              </w:rPr>
              <w:t>Niveles</w:t>
            </w:r>
          </w:p>
        </w:tc>
        <w:tc>
          <w:tcPr>
            <w:tcW w:type="dxa" w:w="3742"/>
            <w:vAlign w:val="center"/>
            <w:tcMar>
              <w:top w:w="100" w:type="dxa"/>
              <w:start w:w="110" w:type="dxa"/>
              <w:bottom w:w="100" w:type="dxa"/>
              <w:end w:w="110" w:type="dxa"/>
            </w:tcMar>
            <w:shd w:fill="1F4E78"/>
          </w:tcPr>
          <w:p>
            <w:pPr>
              <w:spacing w:after="0"/>
              <w:jc w:val="center"/>
            </w:pPr>
            <w:r>
              <w:rPr>
                <w:rFonts w:ascii="Times New Roman" w:hAnsi="Times New Roman"/>
                <w:b/>
                <w:color w:val="FFFFFF"/>
                <w:sz w:val="18"/>
              </w:rPr>
              <w:t>Propósito</w:t>
            </w:r>
          </w:p>
        </w:tc>
      </w:tr>
      <w:tr>
        <w:tc>
          <w:tcPr>
            <w:tcW w:type="dxa" w:w="2041"/>
            <w:vAlign w:val="center"/>
            <w:tcMar>
              <w:top w:w="100" w:type="dxa"/>
              <w:start w:w="110" w:type="dxa"/>
              <w:bottom w:w="100" w:type="dxa"/>
              <w:end w:w="110" w:type="dxa"/>
            </w:tcMar>
          </w:tcPr>
          <w:p>
            <w:pPr>
              <w:spacing w:after="0" w:line="252" w:lineRule="auto"/>
              <w:jc w:val="center"/>
            </w:pPr>
            <w:r>
              <w:rPr>
                <w:rFonts w:ascii="Times New Roman" w:hAnsi="Times New Roman"/>
                <w:color w:val="000000"/>
                <w:sz w:val="17"/>
              </w:rPr>
              <w:t>Población</w:t>
            </w:r>
          </w:p>
        </w:tc>
        <w:tc>
          <w:tcPr>
            <w:tcW w:type="dxa" w:w="3118"/>
            <w:vAlign w:val="center"/>
            <w:tcMar>
              <w:top w:w="100" w:type="dxa"/>
              <w:start w:w="110" w:type="dxa"/>
              <w:bottom w:w="100" w:type="dxa"/>
              <w:end w:w="110" w:type="dxa"/>
            </w:tcMar>
          </w:tcPr>
          <w:p>
            <w:pPr>
              <w:spacing w:after="0" w:line="252" w:lineRule="auto"/>
              <w:jc w:val="left"/>
            </w:pPr>
            <w:r>
              <w:rPr>
                <w:rFonts w:ascii="Times New Roman" w:hAnsi="Times New Roman"/>
                <w:color w:val="000000"/>
                <w:sz w:val="17"/>
              </w:rPr>
              <w:t>50,000; 100,000; 250,000; 500,000</w:t>
            </w:r>
          </w:p>
        </w:tc>
        <w:tc>
          <w:tcPr>
            <w:tcW w:type="dxa" w:w="3742"/>
            <w:vAlign w:val="center"/>
            <w:tcMar>
              <w:top w:w="100" w:type="dxa"/>
              <w:start w:w="110" w:type="dxa"/>
              <w:bottom w:w="100" w:type="dxa"/>
              <w:end w:w="110" w:type="dxa"/>
            </w:tcMar>
          </w:tcPr>
          <w:p>
            <w:pPr>
              <w:spacing w:after="0" w:line="252" w:lineRule="auto"/>
              <w:jc w:val="left"/>
            </w:pPr>
            <w:r>
              <w:rPr>
                <w:rFonts w:ascii="Times New Roman" w:hAnsi="Times New Roman"/>
                <w:color w:val="000000"/>
                <w:sz w:val="17"/>
              </w:rPr>
              <w:t>Evaluar escalabilidad declarada</w:t>
            </w:r>
          </w:p>
        </w:tc>
      </w:tr>
      <w:tr>
        <w:tc>
          <w:tcPr>
            <w:tcW w:type="dxa" w:w="2041"/>
            <w:vAlign w:val="center"/>
            <w:tcMar>
              <w:top w:w="100" w:type="dxa"/>
              <w:start w:w="110" w:type="dxa"/>
              <w:bottom w:w="100" w:type="dxa"/>
              <w:end w:w="110" w:type="dxa"/>
            </w:tcMar>
            <w:shd w:fill="EAF2F8"/>
          </w:tcPr>
          <w:p>
            <w:pPr>
              <w:spacing w:after="0" w:line="252" w:lineRule="auto"/>
              <w:jc w:val="center"/>
            </w:pPr>
            <w:r>
              <w:rPr>
                <w:rFonts w:ascii="Times New Roman" w:hAnsi="Times New Roman"/>
                <w:color w:val="000000"/>
                <w:sz w:val="17"/>
              </w:rPr>
              <w:t>Tasa de eventos</w:t>
            </w:r>
          </w:p>
        </w:tc>
        <w:tc>
          <w:tcPr>
            <w:tcW w:type="dxa" w:w="3118"/>
            <w:vAlign w:val="center"/>
            <w:tcMar>
              <w:top w:w="100" w:type="dxa"/>
              <w:start w:w="110" w:type="dxa"/>
              <w:bottom w:w="100" w:type="dxa"/>
              <w:end w:w="110" w:type="dxa"/>
            </w:tcMar>
            <w:shd w:fill="EAF2F8"/>
          </w:tcPr>
          <w:p>
            <w:pPr>
              <w:spacing w:after="0" w:line="252" w:lineRule="auto"/>
              <w:jc w:val="left"/>
            </w:pPr>
            <w:r>
              <w:rPr>
                <w:rFonts w:ascii="Times New Roman" w:hAnsi="Times New Roman"/>
                <w:color w:val="000000"/>
                <w:sz w:val="17"/>
              </w:rPr>
              <w:t>10; 100; 500 eventos/s</w:t>
            </w:r>
          </w:p>
        </w:tc>
        <w:tc>
          <w:tcPr>
            <w:tcW w:type="dxa" w:w="3742"/>
            <w:vAlign w:val="center"/>
            <w:tcMar>
              <w:top w:w="100" w:type="dxa"/>
              <w:start w:w="110" w:type="dxa"/>
              <w:bottom w:w="100" w:type="dxa"/>
              <w:end w:w="110" w:type="dxa"/>
            </w:tcMar>
            <w:shd w:fill="EAF2F8"/>
          </w:tcPr>
          <w:p>
            <w:pPr>
              <w:spacing w:after="0" w:line="252" w:lineRule="auto"/>
              <w:jc w:val="left"/>
            </w:pPr>
            <w:r>
              <w:rPr>
                <w:rFonts w:ascii="Times New Roman" w:hAnsi="Times New Roman"/>
                <w:color w:val="000000"/>
                <w:sz w:val="17"/>
              </w:rPr>
              <w:t>Medir sensibilidad a carga</w:t>
            </w:r>
          </w:p>
        </w:tc>
      </w:tr>
      <w:tr>
        <w:tc>
          <w:tcPr>
            <w:tcW w:type="dxa" w:w="2041"/>
            <w:vAlign w:val="center"/>
            <w:tcMar>
              <w:top w:w="100" w:type="dxa"/>
              <w:start w:w="110" w:type="dxa"/>
              <w:bottom w:w="100" w:type="dxa"/>
              <w:end w:w="110" w:type="dxa"/>
            </w:tcMar>
          </w:tcPr>
          <w:p>
            <w:pPr>
              <w:spacing w:after="0" w:line="252" w:lineRule="auto"/>
              <w:jc w:val="center"/>
            </w:pPr>
            <w:r>
              <w:rPr>
                <w:rFonts w:ascii="Times New Roman" w:hAnsi="Times New Roman"/>
                <w:color w:val="000000"/>
                <w:sz w:val="17"/>
              </w:rPr>
              <w:t>Presión operacional</w:t>
            </w:r>
          </w:p>
        </w:tc>
        <w:tc>
          <w:tcPr>
            <w:tcW w:type="dxa" w:w="3118"/>
            <w:vAlign w:val="center"/>
            <w:tcMar>
              <w:top w:w="100" w:type="dxa"/>
              <w:start w:w="110" w:type="dxa"/>
              <w:bottom w:w="100" w:type="dxa"/>
              <w:end w:w="110" w:type="dxa"/>
            </w:tcMar>
          </w:tcPr>
          <w:p>
            <w:pPr>
              <w:spacing w:after="0" w:line="252" w:lineRule="auto"/>
              <w:jc w:val="left"/>
            </w:pPr>
            <w:r>
              <w:rPr>
                <w:rFonts w:ascii="Times New Roman" w:hAnsi="Times New Roman"/>
                <w:color w:val="000000"/>
                <w:sz w:val="17"/>
              </w:rPr>
              <w:t>Normal; elevada; perturbación</w:t>
            </w:r>
          </w:p>
        </w:tc>
        <w:tc>
          <w:tcPr>
            <w:tcW w:type="dxa" w:w="3742"/>
            <w:vAlign w:val="center"/>
            <w:tcMar>
              <w:top w:w="100" w:type="dxa"/>
              <w:start w:w="110" w:type="dxa"/>
              <w:bottom w:w="100" w:type="dxa"/>
              <w:end w:w="110" w:type="dxa"/>
            </w:tcMar>
          </w:tcPr>
          <w:p>
            <w:pPr>
              <w:spacing w:after="0" w:line="252" w:lineRule="auto"/>
              <w:jc w:val="left"/>
            </w:pPr>
            <w:r>
              <w:rPr>
                <w:rFonts w:ascii="Times New Roman" w:hAnsi="Times New Roman"/>
                <w:color w:val="000000"/>
                <w:sz w:val="17"/>
              </w:rPr>
              <w:t>Evaluar estabilidad ante cambios</w:t>
            </w:r>
          </w:p>
        </w:tc>
      </w:tr>
      <w:tr>
        <w:tc>
          <w:tcPr>
            <w:tcW w:type="dxa" w:w="2041"/>
            <w:vAlign w:val="center"/>
            <w:tcMar>
              <w:top w:w="100" w:type="dxa"/>
              <w:start w:w="110" w:type="dxa"/>
              <w:bottom w:w="100" w:type="dxa"/>
              <w:end w:w="110" w:type="dxa"/>
            </w:tcMar>
            <w:shd w:fill="EAF2F8"/>
          </w:tcPr>
          <w:p>
            <w:pPr>
              <w:spacing w:after="0" w:line="252" w:lineRule="auto"/>
              <w:jc w:val="center"/>
            </w:pPr>
            <w:r>
              <w:rPr>
                <w:rFonts w:ascii="Times New Roman" w:hAnsi="Times New Roman"/>
                <w:color w:val="000000"/>
                <w:sz w:val="17"/>
              </w:rPr>
              <w:t>Datos faltantes</w:t>
            </w:r>
          </w:p>
        </w:tc>
        <w:tc>
          <w:tcPr>
            <w:tcW w:type="dxa" w:w="3118"/>
            <w:vAlign w:val="center"/>
            <w:tcMar>
              <w:top w:w="100" w:type="dxa"/>
              <w:start w:w="110" w:type="dxa"/>
              <w:bottom w:w="100" w:type="dxa"/>
              <w:end w:w="110" w:type="dxa"/>
            </w:tcMar>
            <w:shd w:fill="EAF2F8"/>
          </w:tcPr>
          <w:p>
            <w:pPr>
              <w:spacing w:after="0" w:line="252" w:lineRule="auto"/>
              <w:jc w:val="left"/>
            </w:pPr>
            <w:r>
              <w:rPr>
                <w:rFonts w:ascii="Times New Roman" w:hAnsi="Times New Roman"/>
                <w:color w:val="000000"/>
                <w:sz w:val="17"/>
              </w:rPr>
              <w:t>0%; 5%; 15%; 30%; patrón no aleatorio</w:t>
            </w:r>
          </w:p>
        </w:tc>
        <w:tc>
          <w:tcPr>
            <w:tcW w:type="dxa" w:w="3742"/>
            <w:vAlign w:val="center"/>
            <w:tcMar>
              <w:top w:w="100" w:type="dxa"/>
              <w:start w:w="110" w:type="dxa"/>
              <w:bottom w:w="100" w:type="dxa"/>
              <w:end w:w="110" w:type="dxa"/>
            </w:tcMar>
            <w:shd w:fill="EAF2F8"/>
          </w:tcPr>
          <w:p>
            <w:pPr>
              <w:spacing w:after="0" w:line="252" w:lineRule="auto"/>
              <w:jc w:val="left"/>
            </w:pPr>
            <w:r>
              <w:rPr>
                <w:rFonts w:ascii="Times New Roman" w:hAnsi="Times New Roman"/>
                <w:color w:val="000000"/>
                <w:sz w:val="17"/>
              </w:rPr>
              <w:t>Evaluar robustez e incertidumbre</w:t>
            </w:r>
          </w:p>
        </w:tc>
      </w:tr>
      <w:tr>
        <w:tc>
          <w:tcPr>
            <w:tcW w:type="dxa" w:w="2041"/>
            <w:vAlign w:val="center"/>
            <w:tcMar>
              <w:top w:w="100" w:type="dxa"/>
              <w:start w:w="110" w:type="dxa"/>
              <w:bottom w:w="100" w:type="dxa"/>
              <w:end w:w="110" w:type="dxa"/>
            </w:tcMar>
          </w:tcPr>
          <w:p>
            <w:pPr>
              <w:spacing w:after="0" w:line="252" w:lineRule="auto"/>
              <w:jc w:val="center"/>
            </w:pPr>
            <w:r>
              <w:rPr>
                <w:rFonts w:ascii="Times New Roman" w:hAnsi="Times New Roman"/>
                <w:color w:val="000000"/>
                <w:sz w:val="17"/>
              </w:rPr>
              <w:t>Repeticiones</w:t>
            </w:r>
          </w:p>
        </w:tc>
        <w:tc>
          <w:tcPr>
            <w:tcW w:type="dxa" w:w="3118"/>
            <w:vAlign w:val="center"/>
            <w:tcMar>
              <w:top w:w="100" w:type="dxa"/>
              <w:start w:w="110" w:type="dxa"/>
              <w:bottom w:w="100" w:type="dxa"/>
              <w:end w:w="110" w:type="dxa"/>
            </w:tcMar>
          </w:tcPr>
          <w:p>
            <w:pPr>
              <w:spacing w:after="0" w:line="252" w:lineRule="auto"/>
              <w:jc w:val="left"/>
            </w:pPr>
            <w:r>
              <w:rPr>
                <w:rFonts w:ascii="Times New Roman" w:hAnsi="Times New Roman"/>
                <w:color w:val="000000"/>
                <w:sz w:val="17"/>
              </w:rPr>
              <w:t>30 por combinación</w:t>
            </w:r>
          </w:p>
        </w:tc>
        <w:tc>
          <w:tcPr>
            <w:tcW w:type="dxa" w:w="3742"/>
            <w:vAlign w:val="center"/>
            <w:tcMar>
              <w:top w:w="100" w:type="dxa"/>
              <w:start w:w="110" w:type="dxa"/>
              <w:bottom w:w="100" w:type="dxa"/>
              <w:end w:w="110" w:type="dxa"/>
            </w:tcMar>
          </w:tcPr>
          <w:p>
            <w:pPr>
              <w:spacing w:after="0" w:line="252" w:lineRule="auto"/>
              <w:jc w:val="left"/>
            </w:pPr>
            <w:r>
              <w:rPr>
                <w:rFonts w:ascii="Times New Roman" w:hAnsi="Times New Roman"/>
                <w:color w:val="000000"/>
                <w:sz w:val="17"/>
              </w:rPr>
              <w:t>Estimar variabilidad</w:t>
            </w:r>
          </w:p>
        </w:tc>
      </w:tr>
    </w:tbl>
    <w:p>
      <w:pPr>
        <w:spacing w:after="40"/>
      </w:pPr>
    </w:p>
    <w:p>
      <w:pPr>
        <w:keepNext/>
        <w:spacing w:before="160" w:after="120"/>
        <w:jc w:val="left"/>
      </w:pPr>
      <w:r>
        <w:rPr>
          <w:rFonts w:ascii="Times New Roman" w:hAnsi="Times New Roman"/>
          <w:b/>
          <w:color w:val="000000"/>
          <w:sz w:val="24"/>
        </w:rPr>
        <w:t>3.5. Variables y control de calidad</w:t>
      </w:r>
    </w:p>
    <w:p>
      <w:pPr>
        <w:spacing w:line="360" w:lineRule="auto" w:after="120"/>
        <w:ind w:firstLine="709"/>
        <w:jc w:val="both"/>
      </w:pPr>
      <w:r>
        <w:rPr>
          <w:rFonts w:ascii="Times New Roman" w:hAnsi="Times New Roman"/>
          <w:color w:val="000000"/>
          <w:sz w:val="24"/>
        </w:rPr>
        <w:t>Los indicadores de SDOH se agruparán en estabilidad económica, acceso y calidad educativa, acceso y calidad de la atención sanitaria, entorno vecinal y construido, y contexto social y comunitario. Antes de ingresar al índice, cada variable se orientará para que los valores altos representen mayor desventaja y se normalizará mediante percentiles robustos. Se conservarán tres atributos de calidad: cobertura, antigüedad y confiabilidad de la fuente. Un indicador con baja cobertura no se imputará silenciosamente; se reportará el valor estimado y su bandera de incertidumbre.</w:t>
      </w:r>
    </w:p>
    <w:p>
      <w:pPr>
        <w:spacing w:line="360" w:lineRule="auto" w:after="120"/>
        <w:ind w:firstLine="709"/>
        <w:jc w:val="both"/>
      </w:pPr>
      <w:r>
        <w:rPr>
          <w:rFonts w:ascii="Times New Roman" w:hAnsi="Times New Roman"/>
          <w:color w:val="000000"/>
          <w:sz w:val="24"/>
        </w:rPr>
        <w:t>Las reglas automáticas rechazarán unidades desconocidas, marcas temporales futuras no justificadas, coordenadas fuera del área, duplicados exactos y valores imposibles según el diccionario. Los valores extremos plausibles se conservarán, pero quedarán etiquetados. Para evaluar resistencia a datos incompletos se introducirán pérdidas aleatorias de 5%, 15% y 30%, además de un patrón no aleatorio concentrado en las zonas de mayor vulnerabilidad.</w:t>
      </w:r>
    </w:p>
    <w:p>
      <w:pPr>
        <w:keepNext/>
        <w:spacing w:before="120" w:after="80"/>
      </w:pPr>
      <w:r>
        <w:rPr>
          <w:rFonts w:ascii="Times New Roman" w:hAnsi="Times New Roman"/>
          <w:b/>
          <w:color w:val="000000"/>
          <w:sz w:val="20"/>
        </w:rPr>
        <w:t>Tabla 3. Fuentes sintéticas, frecuencia y controles de calidad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160"/>
        <w:gridCol w:w="2160"/>
        <w:gridCol w:w="2160"/>
        <w:gridCol w:w="2160"/>
      </w:tblGrid>
      <w:tr>
        <w:trPr>
          <w:tblHeader w:val="true"/>
        </w:trPr>
        <w:tc>
          <w:tcPr>
            <w:tcW w:type="dxa" w:w="1701"/>
            <w:vAlign w:val="center"/>
            <w:tcMar>
              <w:top w:w="100" w:type="dxa"/>
              <w:start w:w="110" w:type="dxa"/>
              <w:bottom w:w="100" w:type="dxa"/>
              <w:end w:w="110" w:type="dxa"/>
            </w:tcMar>
            <w:shd w:fill="1F4E78"/>
          </w:tcPr>
          <w:p>
            <w:pPr>
              <w:spacing w:after="0"/>
              <w:jc w:val="center"/>
            </w:pPr>
            <w:r>
              <w:rPr>
                <w:rFonts w:ascii="Times New Roman" w:hAnsi="Times New Roman"/>
                <w:b/>
                <w:color w:val="FFFFFF"/>
                <w:sz w:val="18"/>
              </w:rPr>
              <w:t>Componente</w:t>
            </w:r>
          </w:p>
        </w:tc>
        <w:tc>
          <w:tcPr>
            <w:tcW w:type="dxa" w:w="3061"/>
            <w:vAlign w:val="center"/>
            <w:tcMar>
              <w:top w:w="100" w:type="dxa"/>
              <w:start w:w="110" w:type="dxa"/>
              <w:bottom w:w="100" w:type="dxa"/>
              <w:end w:w="110" w:type="dxa"/>
            </w:tcMar>
            <w:shd w:fill="1F4E78"/>
          </w:tcPr>
          <w:p>
            <w:pPr>
              <w:spacing w:after="0"/>
              <w:jc w:val="center"/>
            </w:pPr>
            <w:r>
              <w:rPr>
                <w:rFonts w:ascii="Times New Roman" w:hAnsi="Times New Roman"/>
                <w:b/>
                <w:color w:val="FFFFFF"/>
                <w:sz w:val="18"/>
              </w:rPr>
              <w:t>Variables principales</w:t>
            </w:r>
          </w:p>
        </w:tc>
        <w:tc>
          <w:tcPr>
            <w:tcW w:type="dxa" w:w="1814"/>
            <w:vAlign w:val="center"/>
            <w:tcMar>
              <w:top w:w="100" w:type="dxa"/>
              <w:start w:w="110" w:type="dxa"/>
              <w:bottom w:w="100" w:type="dxa"/>
              <w:end w:w="110" w:type="dxa"/>
            </w:tcMar>
            <w:shd w:fill="1F4E78"/>
          </w:tcPr>
          <w:p>
            <w:pPr>
              <w:spacing w:after="0"/>
              <w:jc w:val="center"/>
            </w:pPr>
            <w:r>
              <w:rPr>
                <w:rFonts w:ascii="Times New Roman" w:hAnsi="Times New Roman"/>
                <w:b/>
                <w:color w:val="FFFFFF"/>
                <w:sz w:val="18"/>
              </w:rPr>
              <w:t>Frecuencia sintética</w:t>
            </w:r>
          </w:p>
        </w:tc>
        <w:tc>
          <w:tcPr>
            <w:tcW w:type="dxa" w:w="2324"/>
            <w:vAlign w:val="center"/>
            <w:tcMar>
              <w:top w:w="100" w:type="dxa"/>
              <w:start w:w="110" w:type="dxa"/>
              <w:bottom w:w="100" w:type="dxa"/>
              <w:end w:w="110" w:type="dxa"/>
            </w:tcMar>
            <w:shd w:fill="1F4E78"/>
          </w:tcPr>
          <w:p>
            <w:pPr>
              <w:spacing w:after="0"/>
              <w:jc w:val="center"/>
            </w:pPr>
            <w:r>
              <w:rPr>
                <w:rFonts w:ascii="Times New Roman" w:hAnsi="Times New Roman"/>
                <w:b/>
                <w:color w:val="FFFFFF"/>
                <w:sz w:val="18"/>
              </w:rPr>
              <w:t>Control de calidad</w:t>
            </w:r>
          </w:p>
        </w:tc>
      </w:tr>
      <w:tr>
        <w:tc>
          <w:tcPr>
            <w:tcW w:type="dxa" w:w="1701"/>
            <w:vAlign w:val="center"/>
            <w:tcMar>
              <w:top w:w="100" w:type="dxa"/>
              <w:start w:w="110" w:type="dxa"/>
              <w:bottom w:w="100" w:type="dxa"/>
              <w:end w:w="110" w:type="dxa"/>
            </w:tcMar>
          </w:tcPr>
          <w:p>
            <w:pPr>
              <w:spacing w:after="0" w:line="252" w:lineRule="auto"/>
              <w:jc w:val="center"/>
            </w:pPr>
            <w:r>
              <w:rPr>
                <w:rFonts w:ascii="Times New Roman" w:hAnsi="Times New Roman"/>
                <w:color w:val="000000"/>
                <w:sz w:val="17"/>
              </w:rPr>
              <w:t>SDOH</w:t>
            </w:r>
          </w:p>
        </w:tc>
        <w:tc>
          <w:tcPr>
            <w:tcW w:type="dxa" w:w="3061"/>
            <w:vAlign w:val="center"/>
            <w:tcMar>
              <w:top w:w="100" w:type="dxa"/>
              <w:start w:w="110" w:type="dxa"/>
              <w:bottom w:w="100" w:type="dxa"/>
              <w:end w:w="110" w:type="dxa"/>
            </w:tcMar>
          </w:tcPr>
          <w:p>
            <w:pPr>
              <w:spacing w:after="0" w:line="252" w:lineRule="auto"/>
              <w:jc w:val="left"/>
            </w:pPr>
            <w:r>
              <w:rPr>
                <w:rFonts w:ascii="Times New Roman" w:hAnsi="Times New Roman"/>
                <w:color w:val="000000"/>
                <w:sz w:val="17"/>
              </w:rPr>
              <w:t>Cinco dominios, cobertura y antigüedad</w:t>
            </w:r>
          </w:p>
        </w:tc>
        <w:tc>
          <w:tcPr>
            <w:tcW w:type="dxa" w:w="1814"/>
            <w:vAlign w:val="center"/>
            <w:tcMar>
              <w:top w:w="100" w:type="dxa"/>
              <w:start w:w="110" w:type="dxa"/>
              <w:bottom w:w="100" w:type="dxa"/>
              <w:end w:w="110" w:type="dxa"/>
            </w:tcMar>
          </w:tcPr>
          <w:p>
            <w:pPr>
              <w:spacing w:after="0" w:line="252" w:lineRule="auto"/>
              <w:jc w:val="left"/>
            </w:pPr>
            <w:r>
              <w:rPr>
                <w:rFonts w:ascii="Times New Roman" w:hAnsi="Times New Roman"/>
                <w:color w:val="000000"/>
                <w:sz w:val="17"/>
              </w:rPr>
              <w:t>Mensual o trimestral</w:t>
            </w:r>
          </w:p>
        </w:tc>
        <w:tc>
          <w:tcPr>
            <w:tcW w:type="dxa" w:w="2324"/>
            <w:vAlign w:val="center"/>
            <w:tcMar>
              <w:top w:w="100" w:type="dxa"/>
              <w:start w:w="110" w:type="dxa"/>
              <w:bottom w:w="100" w:type="dxa"/>
              <w:end w:w="110" w:type="dxa"/>
            </w:tcMar>
          </w:tcPr>
          <w:p>
            <w:pPr>
              <w:spacing w:after="0" w:line="252" w:lineRule="auto"/>
              <w:jc w:val="left"/>
            </w:pPr>
            <w:r>
              <w:rPr>
                <w:rFonts w:ascii="Times New Roman" w:hAnsi="Times New Roman"/>
                <w:color w:val="000000"/>
                <w:sz w:val="17"/>
              </w:rPr>
              <w:t>Rango, procedencia y completitud</w:t>
            </w:r>
          </w:p>
        </w:tc>
      </w:tr>
      <w:tr>
        <w:tc>
          <w:tcPr>
            <w:tcW w:type="dxa" w:w="1701"/>
            <w:vAlign w:val="center"/>
            <w:tcMar>
              <w:top w:w="100" w:type="dxa"/>
              <w:start w:w="110" w:type="dxa"/>
              <w:bottom w:w="100" w:type="dxa"/>
              <w:end w:w="110" w:type="dxa"/>
            </w:tcMar>
            <w:shd w:fill="EAF2F8"/>
          </w:tcPr>
          <w:p>
            <w:pPr>
              <w:spacing w:after="0" w:line="252" w:lineRule="auto"/>
              <w:jc w:val="center"/>
            </w:pPr>
            <w:r>
              <w:rPr>
                <w:rFonts w:ascii="Times New Roman" w:hAnsi="Times New Roman"/>
                <w:color w:val="000000"/>
                <w:sz w:val="17"/>
              </w:rPr>
              <w:t>Clínico agregado</w:t>
            </w:r>
          </w:p>
        </w:tc>
        <w:tc>
          <w:tcPr>
            <w:tcW w:type="dxa" w:w="3061"/>
            <w:vAlign w:val="center"/>
            <w:tcMar>
              <w:top w:w="100" w:type="dxa"/>
              <w:start w:w="110" w:type="dxa"/>
              <w:bottom w:w="100" w:type="dxa"/>
              <w:end w:w="110" w:type="dxa"/>
            </w:tcMar>
            <w:shd w:fill="EAF2F8"/>
          </w:tcPr>
          <w:p>
            <w:pPr>
              <w:spacing w:after="0" w:line="252" w:lineRule="auto"/>
              <w:jc w:val="left"/>
            </w:pPr>
            <w:r>
              <w:rPr>
                <w:rFonts w:ascii="Times New Roman" w:hAnsi="Times New Roman"/>
                <w:color w:val="000000"/>
                <w:sz w:val="17"/>
              </w:rPr>
              <w:t>Encuentros, demanda y resultados</w:t>
            </w:r>
          </w:p>
        </w:tc>
        <w:tc>
          <w:tcPr>
            <w:tcW w:type="dxa" w:w="1814"/>
            <w:vAlign w:val="center"/>
            <w:tcMar>
              <w:top w:w="100" w:type="dxa"/>
              <w:start w:w="110" w:type="dxa"/>
              <w:bottom w:w="100" w:type="dxa"/>
              <w:end w:w="110" w:type="dxa"/>
            </w:tcMar>
            <w:shd w:fill="EAF2F8"/>
          </w:tcPr>
          <w:p>
            <w:pPr>
              <w:spacing w:after="0" w:line="252" w:lineRule="auto"/>
              <w:jc w:val="left"/>
            </w:pPr>
            <w:r>
              <w:rPr>
                <w:rFonts w:ascii="Times New Roman" w:hAnsi="Times New Roman"/>
                <w:color w:val="000000"/>
                <w:sz w:val="17"/>
              </w:rPr>
              <w:t>Minutos</w:t>
            </w:r>
          </w:p>
        </w:tc>
        <w:tc>
          <w:tcPr>
            <w:tcW w:type="dxa" w:w="2324"/>
            <w:vAlign w:val="center"/>
            <w:tcMar>
              <w:top w:w="100" w:type="dxa"/>
              <w:start w:w="110" w:type="dxa"/>
              <w:bottom w:w="100" w:type="dxa"/>
              <w:end w:w="110" w:type="dxa"/>
            </w:tcMar>
            <w:shd w:fill="EAF2F8"/>
          </w:tcPr>
          <w:p>
            <w:pPr>
              <w:spacing w:after="0" w:line="252" w:lineRule="auto"/>
              <w:jc w:val="left"/>
            </w:pPr>
            <w:r>
              <w:rPr>
                <w:rFonts w:ascii="Times New Roman" w:hAnsi="Times New Roman"/>
                <w:color w:val="000000"/>
                <w:sz w:val="17"/>
              </w:rPr>
              <w:t>Duplicados, marca temporal y consistencia</w:t>
            </w:r>
          </w:p>
        </w:tc>
      </w:tr>
      <w:tr>
        <w:tc>
          <w:tcPr>
            <w:tcW w:type="dxa" w:w="1701"/>
            <w:vAlign w:val="center"/>
            <w:tcMar>
              <w:top w:w="100" w:type="dxa"/>
              <w:start w:w="110" w:type="dxa"/>
              <w:bottom w:w="100" w:type="dxa"/>
              <w:end w:w="110" w:type="dxa"/>
            </w:tcMar>
          </w:tcPr>
          <w:p>
            <w:pPr>
              <w:spacing w:after="0" w:line="252" w:lineRule="auto"/>
              <w:jc w:val="center"/>
            </w:pPr>
            <w:r>
              <w:rPr>
                <w:rFonts w:ascii="Times New Roman" w:hAnsi="Times New Roman"/>
                <w:color w:val="000000"/>
                <w:sz w:val="17"/>
              </w:rPr>
              <w:t>Operacional</w:t>
            </w:r>
          </w:p>
        </w:tc>
        <w:tc>
          <w:tcPr>
            <w:tcW w:type="dxa" w:w="3061"/>
            <w:vAlign w:val="center"/>
            <w:tcMar>
              <w:top w:w="100" w:type="dxa"/>
              <w:start w:w="110" w:type="dxa"/>
              <w:bottom w:w="100" w:type="dxa"/>
              <w:end w:w="110" w:type="dxa"/>
            </w:tcMar>
          </w:tcPr>
          <w:p>
            <w:pPr>
              <w:spacing w:after="0" w:line="252" w:lineRule="auto"/>
              <w:jc w:val="left"/>
            </w:pPr>
            <w:r>
              <w:rPr>
                <w:rFonts w:ascii="Times New Roman" w:hAnsi="Times New Roman"/>
                <w:color w:val="000000"/>
                <w:sz w:val="17"/>
              </w:rPr>
              <w:t>Camas, personal, colas y capacidad</w:t>
            </w:r>
          </w:p>
        </w:tc>
        <w:tc>
          <w:tcPr>
            <w:tcW w:type="dxa" w:w="1814"/>
            <w:vAlign w:val="center"/>
            <w:tcMar>
              <w:top w:w="100" w:type="dxa"/>
              <w:start w:w="110" w:type="dxa"/>
              <w:bottom w:w="100" w:type="dxa"/>
              <w:end w:w="110" w:type="dxa"/>
            </w:tcMar>
          </w:tcPr>
          <w:p>
            <w:pPr>
              <w:spacing w:after="0" w:line="252" w:lineRule="auto"/>
              <w:jc w:val="left"/>
            </w:pPr>
            <w:r>
              <w:rPr>
                <w:rFonts w:ascii="Times New Roman" w:hAnsi="Times New Roman"/>
                <w:color w:val="000000"/>
                <w:sz w:val="17"/>
              </w:rPr>
              <w:t>Segundos o minutos</w:t>
            </w:r>
          </w:p>
        </w:tc>
        <w:tc>
          <w:tcPr>
            <w:tcW w:type="dxa" w:w="2324"/>
            <w:vAlign w:val="center"/>
            <w:tcMar>
              <w:top w:w="100" w:type="dxa"/>
              <w:start w:w="110" w:type="dxa"/>
              <w:bottom w:w="100" w:type="dxa"/>
              <w:end w:w="110" w:type="dxa"/>
            </w:tcMar>
          </w:tcPr>
          <w:p>
            <w:pPr>
              <w:spacing w:after="0" w:line="252" w:lineRule="auto"/>
              <w:jc w:val="left"/>
            </w:pPr>
            <w:r>
              <w:rPr>
                <w:rFonts w:ascii="Times New Roman" w:hAnsi="Times New Roman"/>
                <w:color w:val="000000"/>
                <w:sz w:val="17"/>
              </w:rPr>
              <w:t>Estado válido y secuencia de eventos</w:t>
            </w:r>
          </w:p>
        </w:tc>
      </w:tr>
      <w:tr>
        <w:tc>
          <w:tcPr>
            <w:tcW w:type="dxa" w:w="1701"/>
            <w:vAlign w:val="center"/>
            <w:tcMar>
              <w:top w:w="100" w:type="dxa"/>
              <w:start w:w="110" w:type="dxa"/>
              <w:bottom w:w="100" w:type="dxa"/>
              <w:end w:w="110" w:type="dxa"/>
            </w:tcMar>
            <w:shd w:fill="EAF2F8"/>
          </w:tcPr>
          <w:p>
            <w:pPr>
              <w:spacing w:after="0" w:line="252" w:lineRule="auto"/>
              <w:jc w:val="center"/>
            </w:pPr>
            <w:r>
              <w:rPr>
                <w:rFonts w:ascii="Times New Roman" w:hAnsi="Times New Roman"/>
                <w:color w:val="000000"/>
                <w:sz w:val="17"/>
              </w:rPr>
              <w:t>Ambiental IoT</w:t>
            </w:r>
          </w:p>
        </w:tc>
        <w:tc>
          <w:tcPr>
            <w:tcW w:type="dxa" w:w="3061"/>
            <w:vAlign w:val="center"/>
            <w:tcMar>
              <w:top w:w="100" w:type="dxa"/>
              <w:start w:w="110" w:type="dxa"/>
              <w:bottom w:w="100" w:type="dxa"/>
              <w:end w:w="110" w:type="dxa"/>
            </w:tcMar>
            <w:shd w:fill="EAF2F8"/>
          </w:tcPr>
          <w:p>
            <w:pPr>
              <w:spacing w:after="0" w:line="252" w:lineRule="auto"/>
              <w:jc w:val="left"/>
            </w:pPr>
            <w:r>
              <w:rPr>
                <w:rFonts w:ascii="Times New Roman" w:hAnsi="Times New Roman"/>
                <w:color w:val="000000"/>
                <w:sz w:val="17"/>
              </w:rPr>
              <w:t>Aire, temperatura, ruido y alertas</w:t>
            </w:r>
          </w:p>
        </w:tc>
        <w:tc>
          <w:tcPr>
            <w:tcW w:type="dxa" w:w="1814"/>
            <w:vAlign w:val="center"/>
            <w:tcMar>
              <w:top w:w="100" w:type="dxa"/>
              <w:start w:w="110" w:type="dxa"/>
              <w:bottom w:w="100" w:type="dxa"/>
              <w:end w:w="110" w:type="dxa"/>
            </w:tcMar>
            <w:shd w:fill="EAF2F8"/>
          </w:tcPr>
          <w:p>
            <w:pPr>
              <w:spacing w:after="0" w:line="252" w:lineRule="auto"/>
              <w:jc w:val="left"/>
            </w:pPr>
            <w:r>
              <w:rPr>
                <w:rFonts w:ascii="Times New Roman" w:hAnsi="Times New Roman"/>
                <w:color w:val="000000"/>
                <w:sz w:val="17"/>
              </w:rPr>
              <w:t>Segundos</w:t>
            </w:r>
          </w:p>
        </w:tc>
        <w:tc>
          <w:tcPr>
            <w:tcW w:type="dxa" w:w="2324"/>
            <w:vAlign w:val="center"/>
            <w:tcMar>
              <w:top w:w="100" w:type="dxa"/>
              <w:start w:w="110" w:type="dxa"/>
              <w:bottom w:w="100" w:type="dxa"/>
              <w:end w:w="110" w:type="dxa"/>
            </w:tcMar>
            <w:shd w:fill="EAF2F8"/>
          </w:tcPr>
          <w:p>
            <w:pPr>
              <w:spacing w:after="0" w:line="252" w:lineRule="auto"/>
              <w:jc w:val="left"/>
            </w:pPr>
            <w:r>
              <w:rPr>
                <w:rFonts w:ascii="Times New Roman" w:hAnsi="Times New Roman"/>
                <w:color w:val="000000"/>
                <w:sz w:val="17"/>
              </w:rPr>
              <w:t>Unidad, calibración y valores extremos</w:t>
            </w:r>
          </w:p>
        </w:tc>
      </w:tr>
      <w:tr>
        <w:tc>
          <w:tcPr>
            <w:tcW w:type="dxa" w:w="1701"/>
            <w:vAlign w:val="center"/>
            <w:tcMar>
              <w:top w:w="100" w:type="dxa"/>
              <w:start w:w="110" w:type="dxa"/>
              <w:bottom w:w="100" w:type="dxa"/>
              <w:end w:w="110" w:type="dxa"/>
            </w:tcMar>
          </w:tcPr>
          <w:p>
            <w:pPr>
              <w:spacing w:after="0" w:line="252" w:lineRule="auto"/>
              <w:jc w:val="center"/>
            </w:pPr>
            <w:r>
              <w:rPr>
                <w:rFonts w:ascii="Times New Roman" w:hAnsi="Times New Roman"/>
                <w:color w:val="000000"/>
                <w:sz w:val="17"/>
              </w:rPr>
              <w:t>Geoespacial</w:t>
            </w:r>
          </w:p>
        </w:tc>
        <w:tc>
          <w:tcPr>
            <w:tcW w:type="dxa" w:w="3061"/>
            <w:vAlign w:val="center"/>
            <w:tcMar>
              <w:top w:w="100" w:type="dxa"/>
              <w:start w:w="110" w:type="dxa"/>
              <w:bottom w:w="100" w:type="dxa"/>
              <w:end w:w="110" w:type="dxa"/>
            </w:tcMar>
          </w:tcPr>
          <w:p>
            <w:pPr>
              <w:spacing w:after="0" w:line="252" w:lineRule="auto"/>
              <w:jc w:val="left"/>
            </w:pPr>
            <w:r>
              <w:rPr>
                <w:rFonts w:ascii="Times New Roman" w:hAnsi="Times New Roman"/>
                <w:color w:val="000000"/>
                <w:sz w:val="17"/>
              </w:rPr>
              <w:t>Zonas, red y tiempos de viaje</w:t>
            </w:r>
          </w:p>
        </w:tc>
        <w:tc>
          <w:tcPr>
            <w:tcW w:type="dxa" w:w="1814"/>
            <w:vAlign w:val="center"/>
            <w:tcMar>
              <w:top w:w="100" w:type="dxa"/>
              <w:start w:w="110" w:type="dxa"/>
              <w:bottom w:w="100" w:type="dxa"/>
              <w:end w:w="110" w:type="dxa"/>
            </w:tcMar>
          </w:tcPr>
          <w:p>
            <w:pPr>
              <w:spacing w:after="0" w:line="252" w:lineRule="auto"/>
              <w:jc w:val="left"/>
            </w:pPr>
            <w:r>
              <w:rPr>
                <w:rFonts w:ascii="Times New Roman" w:hAnsi="Times New Roman"/>
                <w:color w:val="000000"/>
                <w:sz w:val="17"/>
              </w:rPr>
              <w:t>Por evento o actualización vial</w:t>
            </w:r>
          </w:p>
        </w:tc>
        <w:tc>
          <w:tcPr>
            <w:tcW w:type="dxa" w:w="2324"/>
            <w:vAlign w:val="center"/>
            <w:tcMar>
              <w:top w:w="100" w:type="dxa"/>
              <w:start w:w="110" w:type="dxa"/>
              <w:bottom w:w="100" w:type="dxa"/>
              <w:end w:w="110" w:type="dxa"/>
            </w:tcMar>
          </w:tcPr>
          <w:p>
            <w:pPr>
              <w:spacing w:after="0" w:line="252" w:lineRule="auto"/>
              <w:jc w:val="left"/>
            </w:pPr>
            <w:r>
              <w:rPr>
                <w:rFonts w:ascii="Times New Roman" w:hAnsi="Times New Roman"/>
                <w:color w:val="000000"/>
                <w:sz w:val="17"/>
              </w:rPr>
              <w:t>Topología, coordenadas y conectividad</w:t>
            </w:r>
          </w:p>
        </w:tc>
      </w:tr>
    </w:tbl>
    <w:p>
      <w:pPr>
        <w:spacing w:after="40"/>
      </w:pPr>
    </w:p>
    <w:p>
      <w:pPr>
        <w:keepNext/>
        <w:spacing w:before="160" w:after="120"/>
        <w:jc w:val="left"/>
      </w:pPr>
      <w:r>
        <w:rPr>
          <w:rFonts w:ascii="Times New Roman" w:hAnsi="Times New Roman"/>
          <w:b/>
          <w:color w:val="000000"/>
          <w:sz w:val="24"/>
        </w:rPr>
        <w:t>3.6. Métricas de accesibilidad, vulnerabilidad y equidad</w:t>
      </w:r>
    </w:p>
    <w:p>
      <w:pPr>
        <w:spacing w:line="360" w:lineRule="auto" w:after="120"/>
        <w:ind w:firstLine="709"/>
        <w:jc w:val="both"/>
      </w:pPr>
      <w:r>
        <w:rPr>
          <w:rFonts w:ascii="Times New Roman" w:hAnsi="Times New Roman"/>
          <w:color w:val="000000"/>
          <w:sz w:val="24"/>
        </w:rPr>
        <w:t>La accesibilidad se calculará mediante E2SFCA. En el primer paso, para cada establecimiento j se dividirá su capacidad disponible S entre la demanda ponderada de las zonas k incluidas en su captación C. La función W asignará mayor peso a tiempos de viaje menores. En el segundo paso, para cada zona i se sumarán las razones de oferta-demanda de los establecimientos accesibles. Este método permite que un cambio de capacidad o conectividad modifique el acceso sin redefinir manualmente todas las fronteras (Salvacion, 2022).</w:t>
      </w:r>
    </w:p>
    <w:p>
      <w:pPr>
        <w:spacing w:before="60" w:after="120"/>
        <w:jc w:val="center"/>
      </w:pPr>
      <w:r>
        <w:drawing>
          <wp:inline xmlns:a="http://schemas.openxmlformats.org/drawingml/2006/main" xmlns:pic="http://schemas.openxmlformats.org/drawingml/2006/picture">
            <wp:extent cx="2834640" cy="932154"/>
            <wp:docPr id="1" name="Picture 1"/>
            <wp:cNvGraphicFramePr>
              <a:graphicFrameLocks noChangeAspect="1"/>
            </wp:cNvGraphicFramePr>
            <a:graphic>
              <a:graphicData uri="http://schemas.openxmlformats.org/drawingml/2006/picture">
                <pic:pic>
                  <pic:nvPicPr>
                    <pic:cNvPr id="0" name="eq_rj.png"/>
                    <pic:cNvPicPr/>
                  </pic:nvPicPr>
                  <pic:blipFill>
                    <a:blip r:embed="rId9"/>
                    <a:stretch>
                      <a:fillRect/>
                    </a:stretch>
                  </pic:blipFill>
                  <pic:spPr>
                    <a:xfrm>
                      <a:off x="0" y="0"/>
                      <a:ext cx="2834640" cy="932154"/>
                    </a:xfrm>
                    <a:prstGeom prst="rect"/>
                  </pic:spPr>
                </pic:pic>
              </a:graphicData>
            </a:graphic>
          </wp:inline>
        </w:drawing>
      </w:r>
    </w:p>
    <w:p>
      <w:pPr>
        <w:spacing w:before="60" w:after="120"/>
        <w:jc w:val="center"/>
      </w:pPr>
      <w:r>
        <w:drawing>
          <wp:inline xmlns:a="http://schemas.openxmlformats.org/drawingml/2006/main" xmlns:pic="http://schemas.openxmlformats.org/drawingml/2006/picture">
            <wp:extent cx="2926080" cy="687519"/>
            <wp:docPr id="2" name="Picture 2"/>
            <wp:cNvGraphicFramePr>
              <a:graphicFrameLocks noChangeAspect="1"/>
            </wp:cNvGraphicFramePr>
            <a:graphic>
              <a:graphicData uri="http://schemas.openxmlformats.org/drawingml/2006/picture">
                <pic:pic>
                  <pic:nvPicPr>
                    <pic:cNvPr id="0" name="eq_ai.png"/>
                    <pic:cNvPicPr/>
                  </pic:nvPicPr>
                  <pic:blipFill>
                    <a:blip r:embed="rId10"/>
                    <a:stretch>
                      <a:fillRect/>
                    </a:stretch>
                  </pic:blipFill>
                  <pic:spPr>
                    <a:xfrm>
                      <a:off x="0" y="0"/>
                      <a:ext cx="2926080" cy="687519"/>
                    </a:xfrm>
                    <a:prstGeom prst="rect"/>
                  </pic:spPr>
                </pic:pic>
              </a:graphicData>
            </a:graphic>
          </wp:inline>
        </w:drawing>
      </w:r>
    </w:p>
    <w:p>
      <w:pPr>
        <w:spacing w:line="360" w:lineRule="auto" w:after="120"/>
        <w:ind w:firstLine="709"/>
        <w:jc w:val="both"/>
      </w:pPr>
      <w:r>
        <w:rPr>
          <w:rFonts w:ascii="Times New Roman" w:hAnsi="Times New Roman"/>
          <w:color w:val="000000"/>
          <w:sz w:val="24"/>
        </w:rPr>
        <w:t>El índice de vulnerabilidad V de la zona i será la suma ponderada de los indicadores normalizados z de los cinco dominios. El análisis principal asignará el mismo peso a cada dominio; el análisis de sensibilidad utilizará pesos alternativos obtenidos por entropía y escenarios de prioridad definidos por expertos. Esta separación evita presentar una única ponderación normativa como si fuera una propiedad objetiva de los datos.</w:t>
      </w:r>
    </w:p>
    <w:p>
      <w:pPr>
        <w:spacing w:before="60" w:after="120"/>
        <w:jc w:val="center"/>
      </w:pPr>
      <w:r>
        <w:drawing>
          <wp:inline xmlns:a="http://schemas.openxmlformats.org/drawingml/2006/main" xmlns:pic="http://schemas.openxmlformats.org/drawingml/2006/picture">
            <wp:extent cx="3200400" cy="593543"/>
            <wp:docPr id="3" name="Picture 3"/>
            <wp:cNvGraphicFramePr>
              <a:graphicFrameLocks noChangeAspect="1"/>
            </wp:cNvGraphicFramePr>
            <a:graphic>
              <a:graphicData uri="http://schemas.openxmlformats.org/drawingml/2006/picture">
                <pic:pic>
                  <pic:nvPicPr>
                    <pic:cNvPr id="0" name="eq_vi.png"/>
                    <pic:cNvPicPr/>
                  </pic:nvPicPr>
                  <pic:blipFill>
                    <a:blip r:embed="rId11"/>
                    <a:stretch>
                      <a:fillRect/>
                    </a:stretch>
                  </pic:blipFill>
                  <pic:spPr>
                    <a:xfrm>
                      <a:off x="0" y="0"/>
                      <a:ext cx="3200400" cy="593543"/>
                    </a:xfrm>
                    <a:prstGeom prst="rect"/>
                  </pic:spPr>
                </pic:pic>
              </a:graphicData>
            </a:graphic>
          </wp:inline>
        </w:drawing>
      </w:r>
    </w:p>
    <w:p>
      <w:pPr>
        <w:spacing w:line="360" w:lineRule="auto" w:after="120"/>
        <w:ind w:firstLine="709"/>
        <w:jc w:val="both"/>
      </w:pPr>
      <w:r>
        <w:rPr>
          <w:rFonts w:ascii="Times New Roman" w:hAnsi="Times New Roman"/>
          <w:color w:val="000000"/>
          <w:sz w:val="24"/>
        </w:rPr>
        <w:t>El índice operacional de equidad E combinará acceso normalizado A*, vulnerabilidad V, suficiencia de capacidad C* y riesgo de resultado O*. Todos los componentes se limitarán al intervalo de 0 a 1. El análisis principal empleará pesos iguales y mostrará siempre los cuatro componentes junto al índice, de modo que una mejora en una dimensión no oculte un deterioro en otra.</w:t>
      </w:r>
    </w:p>
    <w:p>
      <w:pPr>
        <w:spacing w:before="60" w:after="120"/>
        <w:jc w:val="center"/>
      </w:pPr>
      <w:r>
        <w:drawing>
          <wp:inline xmlns:a="http://schemas.openxmlformats.org/drawingml/2006/main" xmlns:pic="http://schemas.openxmlformats.org/drawingml/2006/picture">
            <wp:extent cx="5212080" cy="276216"/>
            <wp:docPr id="4" name="Picture 4"/>
            <wp:cNvGraphicFramePr>
              <a:graphicFrameLocks noChangeAspect="1"/>
            </wp:cNvGraphicFramePr>
            <a:graphic>
              <a:graphicData uri="http://schemas.openxmlformats.org/drawingml/2006/picture">
                <pic:pic>
                  <pic:nvPicPr>
                    <pic:cNvPr id="0" name="eq_ei.png"/>
                    <pic:cNvPicPr/>
                  </pic:nvPicPr>
                  <pic:blipFill>
                    <a:blip r:embed="rId12"/>
                    <a:stretch>
                      <a:fillRect/>
                    </a:stretch>
                  </pic:blipFill>
                  <pic:spPr>
                    <a:xfrm>
                      <a:off x="0" y="0"/>
                      <a:ext cx="5212080" cy="276216"/>
                    </a:xfrm>
                    <a:prstGeom prst="rect"/>
                  </pic:spPr>
                </pic:pic>
              </a:graphicData>
            </a:graphic>
          </wp:inline>
        </w:drawing>
      </w:r>
    </w:p>
    <w:p>
      <w:pPr>
        <w:spacing w:line="360" w:lineRule="auto" w:after="120"/>
        <w:ind w:firstLine="709"/>
        <w:jc w:val="both"/>
      </w:pPr>
      <w:r>
        <w:rPr>
          <w:rFonts w:ascii="Times New Roman" w:hAnsi="Times New Roman"/>
          <w:color w:val="000000"/>
          <w:sz w:val="24"/>
        </w:rPr>
        <w:t>Como medidas distributivas se calcularán la razón entre quintiles extremos, la diferencia absoluta entre el quintil más y menos vulnerable, el coeficiente de Gini de accesibilidad y la proporción de población por debajo de un umbral de acceso. Las métricas se reportarán por zona y por grupo poblacional, porque un promedio global puede permanecer estable mientras aumenta una disparidad específica.</w:t>
      </w:r>
    </w:p>
    <w:p>
      <w:pPr>
        <w:keepNext/>
        <w:spacing w:before="160" w:after="120"/>
        <w:jc w:val="left"/>
      </w:pPr>
      <w:r>
        <w:rPr>
          <w:rFonts w:ascii="Times New Roman" w:hAnsi="Times New Roman"/>
          <w:b/>
          <w:color w:val="000000"/>
          <w:sz w:val="24"/>
        </w:rPr>
        <w:t>3.7. Interoperabilidad, privacidad y gobernanza</w:t>
      </w:r>
    </w:p>
    <w:p>
      <w:pPr>
        <w:spacing w:line="360" w:lineRule="auto" w:after="120"/>
        <w:ind w:firstLine="709"/>
        <w:jc w:val="both"/>
      </w:pPr>
      <w:r>
        <w:rPr>
          <w:rFonts w:ascii="Times New Roman" w:hAnsi="Times New Roman"/>
          <w:color w:val="000000"/>
          <w:sz w:val="24"/>
        </w:rPr>
        <w:t>La prueba de interoperabilidad verificará que cada tipo de evento pueda validarse, transformarse al modelo canónico y reconstruir su procedencia. Se calcularán la proporción de mensajes aceptados, la tasa de errores de mapeo, los duplicados detectados y la completitud de campos obligatorios. Los cambios de esquema se manejarán mediante versiones para que productores y consumidores no deban actualizarse simultáneamente.</w:t>
      </w:r>
    </w:p>
    <w:p>
      <w:pPr>
        <w:spacing w:line="360" w:lineRule="auto" w:after="120"/>
        <w:ind w:firstLine="709"/>
        <w:jc w:val="both"/>
      </w:pPr>
      <w:r>
        <w:rPr>
          <w:rFonts w:ascii="Times New Roman" w:hAnsi="Times New Roman"/>
          <w:color w:val="000000"/>
          <w:sz w:val="24"/>
        </w:rPr>
        <w:t>La evaluación utilizará únicamente datos sintéticos y no contendrá identificadores de personas reales. Aun así, la arquitectura aplicará minimización de datos, separación de identificadores, cifrado en tránsito y reposo, control de acceso por roles, registro de auditoría y retención limitada. La futura incorporación de datos institucionales requerirá aprobación ética, acuerdos de uso, evaluación de impacto de privacidad y pruebas de sesgo antes de apoyar decisiones reales. Las consideraciones de gobierno y supervisión son esenciales para trasladar DT sanitarios a la práctica (Venkatesh et al., 2022; Zhang et al., 2024).</w:t>
      </w:r>
    </w:p>
    <w:p>
      <w:pPr>
        <w:keepNext/>
        <w:spacing w:before="160" w:after="120"/>
        <w:jc w:val="left"/>
      </w:pPr>
      <w:r>
        <w:rPr>
          <w:rFonts w:ascii="Times New Roman" w:hAnsi="Times New Roman"/>
          <w:b/>
          <w:color w:val="000000"/>
          <w:sz w:val="24"/>
        </w:rPr>
        <w:t>3.8. Protocolo experimental y líneas base</w:t>
      </w:r>
    </w:p>
    <w:p>
      <w:pPr>
        <w:spacing w:line="360" w:lineRule="auto" w:after="120"/>
        <w:ind w:firstLine="709"/>
        <w:jc w:val="both"/>
      </w:pPr>
      <w:r>
        <w:rPr>
          <w:rFonts w:ascii="Times New Roman" w:hAnsi="Times New Roman"/>
          <w:color w:val="000000"/>
          <w:sz w:val="24"/>
        </w:rPr>
        <w:t>Cada ejecución iniciará con la carga del estado base, seguida de un periodo de estabilización de cinco minutos que no se incluirá en las métricas. Después se inyectarán eventos durante 20 minutos y se medirán ingestión, validación, actualización del estado, recálculo y disponibilidad del resultado. La latencia extremo a extremo será la diferencia entre el instante en que el evento ingresa al sistema y el instante en que el indicador actualizado queda disponible para consulta.</w:t>
      </w:r>
    </w:p>
    <w:p>
      <w:pPr>
        <w:spacing w:before="60" w:after="120"/>
        <w:jc w:val="center"/>
      </w:pPr>
      <w:r>
        <w:drawing>
          <wp:inline xmlns:a="http://schemas.openxmlformats.org/drawingml/2006/main" xmlns:pic="http://schemas.openxmlformats.org/drawingml/2006/picture">
            <wp:extent cx="2468880" cy="358933"/>
            <wp:docPr id="5" name="Picture 5"/>
            <wp:cNvGraphicFramePr>
              <a:graphicFrameLocks noChangeAspect="1"/>
            </wp:cNvGraphicFramePr>
            <a:graphic>
              <a:graphicData uri="http://schemas.openxmlformats.org/drawingml/2006/picture">
                <pic:pic>
                  <pic:nvPicPr>
                    <pic:cNvPr id="0" name="eq_latency.png"/>
                    <pic:cNvPicPr/>
                  </pic:nvPicPr>
                  <pic:blipFill>
                    <a:blip r:embed="rId13"/>
                    <a:stretch>
                      <a:fillRect/>
                    </a:stretch>
                  </pic:blipFill>
                  <pic:spPr>
                    <a:xfrm>
                      <a:off x="0" y="0"/>
                      <a:ext cx="2468880" cy="358933"/>
                    </a:xfrm>
                    <a:prstGeom prst="rect"/>
                  </pic:spPr>
                </pic:pic>
              </a:graphicData>
            </a:graphic>
          </wp:inline>
        </w:drawing>
      </w:r>
    </w:p>
    <w:p>
      <w:pPr>
        <w:spacing w:line="360" w:lineRule="auto" w:after="120"/>
        <w:ind w:firstLine="709"/>
        <w:jc w:val="both"/>
      </w:pPr>
      <w:r>
        <w:rPr>
          <w:rFonts w:ascii="Times New Roman" w:hAnsi="Times New Roman"/>
          <w:color w:val="000000"/>
          <w:sz w:val="24"/>
        </w:rPr>
        <w:t>Se utilizarán dos líneas base. La primera será un proceso por lotes que recompone todos los indicadores después de acumular actualizaciones; permitirá evaluar H1. La segunda empleará una captación estática definida por el establecimiento más cercano y tiempos de viaje iniciales; permitirá evaluar H2. SP-5 utilizará captaciones dinámicas, pesos de distancia y capacidad actualizada. La arquitectura de simulación de eventos discretos servirá como referencia para sincronizar estados y representar colas operacionales (Kuruppu Appuhamilage et al., 2025).</w:t>
      </w:r>
    </w:p>
    <w:p>
      <w:pPr>
        <w:spacing w:line="360" w:lineRule="auto" w:after="120"/>
        <w:ind w:firstLine="709"/>
        <w:jc w:val="both"/>
      </w:pPr>
      <w:r>
        <w:rPr>
          <w:rFonts w:ascii="Times New Roman" w:hAnsi="Times New Roman"/>
          <w:color w:val="000000"/>
          <w:sz w:val="24"/>
        </w:rPr>
        <w:t>El entorno de ejecución deberá registrarse antes de las pruebas: procesador, memoria, sistema operativo, versión del motor, base de datos, número de trabajadores y configuración de caché. No se fijan estas características en el artículo antes de disponer de la implementación, porque hacerlo supondría reportar un experimento no realizado. El repositorio de evaluación incluirá el generador sintético, archivos de configuración, semillas y scripts de análisis.</w:t>
      </w:r>
    </w:p>
    <w:p>
      <w:pPr>
        <w:keepNext/>
        <w:spacing w:before="160" w:after="120"/>
        <w:jc w:val="left"/>
      </w:pPr>
      <w:r>
        <w:rPr>
          <w:rFonts w:ascii="Times New Roman" w:hAnsi="Times New Roman"/>
          <w:b/>
          <w:color w:val="000000"/>
          <w:sz w:val="24"/>
        </w:rPr>
        <w:t>3.9. Criterios de evaluación y análisis estadístico</w:t>
      </w:r>
    </w:p>
    <w:p>
      <w:pPr>
        <w:spacing w:line="360" w:lineRule="auto" w:after="120"/>
        <w:ind w:firstLine="709"/>
        <w:jc w:val="both"/>
      </w:pPr>
      <w:r>
        <w:rPr>
          <w:rFonts w:ascii="Times New Roman" w:hAnsi="Times New Roman"/>
          <w:color w:val="000000"/>
          <w:sz w:val="24"/>
        </w:rPr>
        <w:t>Para H1 se compararán latencia, frecuencia de actualización y resolución espacial entre SP-5 y el procesamiento por lotes. Para H2 se comparará la capacidad de predecir flujos zonales y clasificar zonas de alto riesgo mediante error absoluto medio, raíz del error cuadrático medio, R² y F1. Para H3 se medirán latencias p50, p95 y p99, rendimiento en eventos por segundo, uso máximo de memoria, utilización de CPU y proporción de ejecuciones que cumplen el umbral.</w:t>
      </w:r>
    </w:p>
    <w:p>
      <w:pPr>
        <w:keepNext/>
        <w:spacing w:before="120" w:after="80"/>
      </w:pPr>
      <w:r>
        <w:rPr>
          <w:rFonts w:ascii="Times New Roman" w:hAnsi="Times New Roman"/>
          <w:b/>
          <w:color w:val="000000"/>
          <w:sz w:val="20"/>
        </w:rPr>
        <w:t>Tabla 4. Operacionalización de las hipótesis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160"/>
        <w:gridCol w:w="2160"/>
        <w:gridCol w:w="2160"/>
        <w:gridCol w:w="2160"/>
      </w:tblGrid>
      <w:tr>
        <w:trPr>
          <w:tblHeader w:val="true"/>
        </w:trPr>
        <w:tc>
          <w:tcPr>
            <w:tcW w:type="dxa" w:w="1134"/>
            <w:vAlign w:val="center"/>
            <w:tcMar>
              <w:top w:w="100" w:type="dxa"/>
              <w:start w:w="110" w:type="dxa"/>
              <w:bottom w:w="100" w:type="dxa"/>
              <w:end w:w="110" w:type="dxa"/>
            </w:tcMar>
            <w:shd w:fill="1F4E78"/>
          </w:tcPr>
          <w:p>
            <w:pPr>
              <w:spacing w:after="0"/>
              <w:jc w:val="center"/>
            </w:pPr>
            <w:r>
              <w:rPr>
                <w:rFonts w:ascii="Times New Roman" w:hAnsi="Times New Roman"/>
                <w:b/>
                <w:color w:val="FFFFFF"/>
                <w:sz w:val="18"/>
              </w:rPr>
              <w:t>Hipótesis</w:t>
            </w:r>
          </w:p>
        </w:tc>
        <w:tc>
          <w:tcPr>
            <w:tcW w:type="dxa" w:w="2608"/>
            <w:vAlign w:val="center"/>
            <w:tcMar>
              <w:top w:w="100" w:type="dxa"/>
              <w:start w:w="110" w:type="dxa"/>
              <w:bottom w:w="100" w:type="dxa"/>
              <w:end w:w="110" w:type="dxa"/>
            </w:tcMar>
            <w:shd w:fill="1F4E78"/>
          </w:tcPr>
          <w:p>
            <w:pPr>
              <w:spacing w:after="0"/>
              <w:jc w:val="center"/>
            </w:pPr>
            <w:r>
              <w:rPr>
                <w:rFonts w:ascii="Times New Roman" w:hAnsi="Times New Roman"/>
                <w:b/>
                <w:color w:val="FFFFFF"/>
                <w:sz w:val="18"/>
              </w:rPr>
              <w:t>Comparación</w:t>
            </w:r>
          </w:p>
        </w:tc>
        <w:tc>
          <w:tcPr>
            <w:tcW w:type="dxa" w:w="2608"/>
            <w:vAlign w:val="center"/>
            <w:tcMar>
              <w:top w:w="100" w:type="dxa"/>
              <w:start w:w="110" w:type="dxa"/>
              <w:bottom w:w="100" w:type="dxa"/>
              <w:end w:w="110" w:type="dxa"/>
            </w:tcMar>
            <w:shd w:fill="1F4E78"/>
          </w:tcPr>
          <w:p>
            <w:pPr>
              <w:spacing w:after="0"/>
              <w:jc w:val="center"/>
            </w:pPr>
            <w:r>
              <w:rPr>
                <w:rFonts w:ascii="Times New Roman" w:hAnsi="Times New Roman"/>
                <w:b/>
                <w:color w:val="FFFFFF"/>
                <w:sz w:val="18"/>
              </w:rPr>
              <w:t>Indicadores</w:t>
            </w:r>
          </w:p>
        </w:tc>
        <w:tc>
          <w:tcPr>
            <w:tcW w:type="dxa" w:w="2551"/>
            <w:vAlign w:val="center"/>
            <w:tcMar>
              <w:top w:w="100" w:type="dxa"/>
              <w:start w:w="110" w:type="dxa"/>
              <w:bottom w:w="100" w:type="dxa"/>
              <w:end w:w="110" w:type="dxa"/>
            </w:tcMar>
            <w:shd w:fill="1F4E78"/>
          </w:tcPr>
          <w:p>
            <w:pPr>
              <w:spacing w:after="0"/>
              <w:jc w:val="center"/>
            </w:pPr>
            <w:r>
              <w:rPr>
                <w:rFonts w:ascii="Times New Roman" w:hAnsi="Times New Roman"/>
                <w:b/>
                <w:color w:val="FFFFFF"/>
                <w:sz w:val="18"/>
              </w:rPr>
              <w:t>Criterio principal</w:t>
            </w:r>
          </w:p>
        </w:tc>
      </w:tr>
      <w:tr>
        <w:tc>
          <w:tcPr>
            <w:tcW w:type="dxa" w:w="1134"/>
            <w:vAlign w:val="center"/>
            <w:tcMar>
              <w:top w:w="100" w:type="dxa"/>
              <w:start w:w="110" w:type="dxa"/>
              <w:bottom w:w="100" w:type="dxa"/>
              <w:end w:w="110" w:type="dxa"/>
            </w:tcMar>
          </w:tcPr>
          <w:p>
            <w:pPr>
              <w:spacing w:after="0" w:line="252" w:lineRule="auto"/>
              <w:jc w:val="center"/>
            </w:pPr>
            <w:r>
              <w:rPr>
                <w:rFonts w:ascii="Times New Roman" w:hAnsi="Times New Roman"/>
                <w:color w:val="000000"/>
                <w:sz w:val="17"/>
              </w:rPr>
              <w:t>H1</w:t>
            </w:r>
          </w:p>
        </w:tc>
        <w:tc>
          <w:tcPr>
            <w:tcW w:type="dxa" w:w="2608"/>
            <w:vAlign w:val="center"/>
            <w:tcMar>
              <w:top w:w="100" w:type="dxa"/>
              <w:start w:w="110" w:type="dxa"/>
              <w:bottom w:w="100" w:type="dxa"/>
              <w:end w:w="110" w:type="dxa"/>
            </w:tcMar>
          </w:tcPr>
          <w:p>
            <w:pPr>
              <w:spacing w:after="0" w:line="252" w:lineRule="auto"/>
              <w:jc w:val="left"/>
            </w:pPr>
            <w:r>
              <w:rPr>
                <w:rFonts w:ascii="Times New Roman" w:hAnsi="Times New Roman"/>
                <w:color w:val="000000"/>
                <w:sz w:val="17"/>
              </w:rPr>
              <w:t>SP-5 frente a procesamiento por lotes</w:t>
            </w:r>
          </w:p>
        </w:tc>
        <w:tc>
          <w:tcPr>
            <w:tcW w:type="dxa" w:w="2608"/>
            <w:vAlign w:val="center"/>
            <w:tcMar>
              <w:top w:w="100" w:type="dxa"/>
              <w:start w:w="110" w:type="dxa"/>
              <w:bottom w:w="100" w:type="dxa"/>
              <w:end w:w="110" w:type="dxa"/>
            </w:tcMar>
          </w:tcPr>
          <w:p>
            <w:pPr>
              <w:spacing w:after="0" w:line="252" w:lineRule="auto"/>
              <w:jc w:val="left"/>
            </w:pPr>
            <w:r>
              <w:rPr>
                <w:rFonts w:ascii="Times New Roman" w:hAnsi="Times New Roman"/>
                <w:color w:val="000000"/>
                <w:sz w:val="17"/>
              </w:rPr>
              <w:t>Latencia, frecuencia y resolución espacial</w:t>
            </w:r>
          </w:p>
        </w:tc>
        <w:tc>
          <w:tcPr>
            <w:tcW w:type="dxa" w:w="2551"/>
            <w:vAlign w:val="center"/>
            <w:tcMar>
              <w:top w:w="100" w:type="dxa"/>
              <w:start w:w="110" w:type="dxa"/>
              <w:bottom w:w="100" w:type="dxa"/>
              <w:end w:w="110" w:type="dxa"/>
            </w:tcMar>
          </w:tcPr>
          <w:p>
            <w:pPr>
              <w:spacing w:after="0" w:line="252" w:lineRule="auto"/>
              <w:jc w:val="left"/>
            </w:pPr>
            <w:r>
              <w:rPr>
                <w:rFonts w:ascii="Times New Roman" w:hAnsi="Times New Roman"/>
                <w:color w:val="000000"/>
                <w:sz w:val="17"/>
              </w:rPr>
              <w:t>Menor latencia con actualización zonal</w:t>
            </w:r>
          </w:p>
        </w:tc>
      </w:tr>
      <w:tr>
        <w:tc>
          <w:tcPr>
            <w:tcW w:type="dxa" w:w="1134"/>
            <w:vAlign w:val="center"/>
            <w:tcMar>
              <w:top w:w="100" w:type="dxa"/>
              <w:start w:w="110" w:type="dxa"/>
              <w:bottom w:w="100" w:type="dxa"/>
              <w:end w:w="110" w:type="dxa"/>
            </w:tcMar>
            <w:shd w:fill="EAF2F8"/>
          </w:tcPr>
          <w:p>
            <w:pPr>
              <w:spacing w:after="0" w:line="252" w:lineRule="auto"/>
              <w:jc w:val="center"/>
            </w:pPr>
            <w:r>
              <w:rPr>
                <w:rFonts w:ascii="Times New Roman" w:hAnsi="Times New Roman"/>
                <w:color w:val="000000"/>
                <w:sz w:val="17"/>
              </w:rPr>
              <w:t>H2</w:t>
            </w:r>
          </w:p>
        </w:tc>
        <w:tc>
          <w:tcPr>
            <w:tcW w:type="dxa" w:w="2608"/>
            <w:vAlign w:val="center"/>
            <w:tcMar>
              <w:top w:w="100" w:type="dxa"/>
              <w:start w:w="110" w:type="dxa"/>
              <w:bottom w:w="100" w:type="dxa"/>
              <w:end w:w="110" w:type="dxa"/>
            </w:tcMar>
            <w:shd w:fill="EAF2F8"/>
          </w:tcPr>
          <w:p>
            <w:pPr>
              <w:spacing w:after="0" w:line="252" w:lineRule="auto"/>
              <w:jc w:val="left"/>
            </w:pPr>
            <w:r>
              <w:rPr>
                <w:rFonts w:ascii="Times New Roman" w:hAnsi="Times New Roman"/>
                <w:color w:val="000000"/>
                <w:sz w:val="17"/>
              </w:rPr>
              <w:t>Captación dinámica frente a estática</w:t>
            </w:r>
          </w:p>
        </w:tc>
        <w:tc>
          <w:tcPr>
            <w:tcW w:type="dxa" w:w="2608"/>
            <w:vAlign w:val="center"/>
            <w:tcMar>
              <w:top w:w="100" w:type="dxa"/>
              <w:start w:w="110" w:type="dxa"/>
              <w:bottom w:w="100" w:type="dxa"/>
              <w:end w:w="110" w:type="dxa"/>
            </w:tcMar>
            <w:shd w:fill="EAF2F8"/>
          </w:tcPr>
          <w:p>
            <w:pPr>
              <w:spacing w:after="0" w:line="252" w:lineRule="auto"/>
              <w:jc w:val="left"/>
            </w:pPr>
            <w:r>
              <w:rPr>
                <w:rFonts w:ascii="Times New Roman" w:hAnsi="Times New Roman"/>
                <w:color w:val="000000"/>
                <w:sz w:val="17"/>
              </w:rPr>
              <w:t>MAE, RMSE, R² y F1</w:t>
            </w:r>
          </w:p>
        </w:tc>
        <w:tc>
          <w:tcPr>
            <w:tcW w:type="dxa" w:w="2551"/>
            <w:vAlign w:val="center"/>
            <w:tcMar>
              <w:top w:w="100" w:type="dxa"/>
              <w:start w:w="110" w:type="dxa"/>
              <w:bottom w:w="100" w:type="dxa"/>
              <w:end w:w="110" w:type="dxa"/>
            </w:tcMar>
            <w:shd w:fill="EAF2F8"/>
          </w:tcPr>
          <w:p>
            <w:pPr>
              <w:spacing w:after="0" w:line="252" w:lineRule="auto"/>
              <w:jc w:val="left"/>
            </w:pPr>
            <w:r>
              <w:rPr>
                <w:rFonts w:ascii="Times New Roman" w:hAnsi="Times New Roman"/>
                <w:color w:val="000000"/>
                <w:sz w:val="17"/>
              </w:rPr>
              <w:t>Mejor predicción de flujos y zonas de riesgo</w:t>
            </w:r>
          </w:p>
        </w:tc>
      </w:tr>
      <w:tr>
        <w:tc>
          <w:tcPr>
            <w:tcW w:type="dxa" w:w="1134"/>
            <w:vAlign w:val="center"/>
            <w:tcMar>
              <w:top w:w="100" w:type="dxa"/>
              <w:start w:w="110" w:type="dxa"/>
              <w:bottom w:w="100" w:type="dxa"/>
              <w:end w:w="110" w:type="dxa"/>
            </w:tcMar>
          </w:tcPr>
          <w:p>
            <w:pPr>
              <w:spacing w:after="0" w:line="252" w:lineRule="auto"/>
              <w:jc w:val="center"/>
            </w:pPr>
            <w:r>
              <w:rPr>
                <w:rFonts w:ascii="Times New Roman" w:hAnsi="Times New Roman"/>
                <w:color w:val="000000"/>
                <w:sz w:val="17"/>
              </w:rPr>
              <w:t>H3</w:t>
            </w:r>
          </w:p>
        </w:tc>
        <w:tc>
          <w:tcPr>
            <w:tcW w:type="dxa" w:w="2608"/>
            <w:vAlign w:val="center"/>
            <w:tcMar>
              <w:top w:w="100" w:type="dxa"/>
              <w:start w:w="110" w:type="dxa"/>
              <w:bottom w:w="100" w:type="dxa"/>
              <w:end w:w="110" w:type="dxa"/>
            </w:tcMar>
          </w:tcPr>
          <w:p>
            <w:pPr>
              <w:spacing w:after="0" w:line="252" w:lineRule="auto"/>
              <w:jc w:val="left"/>
            </w:pPr>
            <w:r>
              <w:rPr>
                <w:rFonts w:ascii="Times New Roman" w:hAnsi="Times New Roman"/>
                <w:color w:val="000000"/>
                <w:sz w:val="17"/>
              </w:rPr>
              <w:t>Escenarios de 50,000 a 500,000 habitantes</w:t>
            </w:r>
          </w:p>
        </w:tc>
        <w:tc>
          <w:tcPr>
            <w:tcW w:type="dxa" w:w="2608"/>
            <w:vAlign w:val="center"/>
            <w:tcMar>
              <w:top w:w="100" w:type="dxa"/>
              <w:start w:w="110" w:type="dxa"/>
              <w:bottom w:w="100" w:type="dxa"/>
              <w:end w:w="110" w:type="dxa"/>
            </w:tcMar>
          </w:tcPr>
          <w:p>
            <w:pPr>
              <w:spacing w:after="0" w:line="252" w:lineRule="auto"/>
              <w:jc w:val="left"/>
            </w:pPr>
            <w:r>
              <w:rPr>
                <w:rFonts w:ascii="Times New Roman" w:hAnsi="Times New Roman"/>
                <w:color w:val="000000"/>
                <w:sz w:val="17"/>
              </w:rPr>
              <w:t>p50, p95, p99, memoria y throughput</w:t>
            </w:r>
          </w:p>
        </w:tc>
        <w:tc>
          <w:tcPr>
            <w:tcW w:type="dxa" w:w="2551"/>
            <w:vAlign w:val="center"/>
            <w:tcMar>
              <w:top w:w="100" w:type="dxa"/>
              <w:start w:w="110" w:type="dxa"/>
              <w:bottom w:w="100" w:type="dxa"/>
              <w:end w:w="110" w:type="dxa"/>
            </w:tcMar>
          </w:tcPr>
          <w:p>
            <w:pPr>
              <w:spacing w:after="0" w:line="252" w:lineRule="auto"/>
              <w:jc w:val="left"/>
            </w:pPr>
            <w:r>
              <w:rPr>
                <w:rFonts w:ascii="Times New Roman" w:hAnsi="Times New Roman"/>
                <w:color w:val="000000"/>
                <w:sz w:val="17"/>
              </w:rPr>
              <w:t>p95 &lt; 5 s en todos los tamaños</w:t>
            </w:r>
          </w:p>
        </w:tc>
      </w:tr>
    </w:tbl>
    <w:p>
      <w:pPr>
        <w:spacing w:after="40"/>
      </w:pPr>
    </w:p>
    <w:p>
      <w:pPr>
        <w:spacing w:line="360" w:lineRule="auto" w:after="120"/>
        <w:ind w:firstLine="709"/>
        <w:jc w:val="both"/>
      </w:pPr>
      <w:r>
        <w:rPr>
          <w:rFonts w:ascii="Times New Roman" w:hAnsi="Times New Roman"/>
          <w:color w:val="000000"/>
          <w:sz w:val="24"/>
        </w:rPr>
        <w:t>H3 se considerará respaldada si, en cada escenario de hasta 500,000 habitantes, al menos 95% de las recomputaciones presenta una latencia inferior a cinco segundos y no existe degradación funcional de las métricas. Este criterio convierte la afirmación de tiempo real en una condición falsable. También se reportará el peor caso observado para evitar que el percentil oculte bloqueos extremos.</w:t>
      </w:r>
    </w:p>
    <w:p>
      <w:pPr>
        <w:spacing w:line="360" w:lineRule="auto" w:after="120"/>
        <w:ind w:firstLine="709"/>
        <w:jc w:val="both"/>
      </w:pPr>
      <w:r>
        <w:rPr>
          <w:rFonts w:ascii="Times New Roman" w:hAnsi="Times New Roman"/>
          <w:color w:val="000000"/>
          <w:sz w:val="24"/>
        </w:rPr>
        <w:t>Los resultados se resumirán mediante mediana, rango intercuartílico y percentiles de latencia. Las diferencias emparejadas entre SP-5 y sus líneas base se evaluarán con intervalos de confianza bootstrap de 95% y prueba de rangos con signo de Wilcoxon cuando no se cumpla normalidad. Se reportará el tamaño del efecto mediante correlación biserial de rangos. Un modelo de regresión cuantificará la influencia de población, número de zonas, tasa de eventos y presión operacional sobre la latencia. El nivel de significancia será 0.05 y las comparaciones múltiples se ajustarán con Holm.</w:t>
      </w:r>
    </w:p>
    <w:p>
      <w:pPr>
        <w:keepNext/>
        <w:spacing w:before="160" w:after="120"/>
        <w:jc w:val="left"/>
      </w:pPr>
      <w:r>
        <w:rPr>
          <w:rFonts w:ascii="Times New Roman" w:hAnsi="Times New Roman"/>
          <w:b/>
          <w:color w:val="000000"/>
          <w:sz w:val="24"/>
        </w:rPr>
        <w:t>3.10. Validez, reproducibilidad y consideraciones éticas</w:t>
      </w:r>
    </w:p>
    <w:p>
      <w:pPr>
        <w:spacing w:line="360" w:lineRule="auto" w:after="120"/>
        <w:ind w:firstLine="709"/>
        <w:jc w:val="both"/>
      </w:pPr>
      <w:r>
        <w:rPr>
          <w:rFonts w:ascii="Times New Roman" w:hAnsi="Times New Roman"/>
          <w:color w:val="000000"/>
          <w:sz w:val="24"/>
        </w:rPr>
        <w:t>La validez interna se reforzará mediante parámetros de generación conocidos, líneas base, repeticiones y semillas registradas. La validez de constructo se evaluará comprobando que cada métrica responda en la dirección esperada ante perturbaciones controladas; por ejemplo, una reducción de capacidad deberá disminuir la accesibilidad de las zonas conectadas. La validez externa será limitada porque una población sintética no reproduce completamente la movilidad, los patrones de utilización ni la gobernanza de una ciudad real.</w:t>
      </w:r>
    </w:p>
    <w:p>
      <w:pPr>
        <w:spacing w:line="360" w:lineRule="auto" w:after="120"/>
        <w:ind w:firstLine="709"/>
        <w:jc w:val="both"/>
      </w:pPr>
      <w:r>
        <w:rPr>
          <w:rFonts w:ascii="Times New Roman" w:hAnsi="Times New Roman"/>
          <w:color w:val="000000"/>
          <w:sz w:val="24"/>
        </w:rPr>
        <w:t>La reproducibilidad exigirá publicar el diccionario de datos, reglas de transformación, configuraciones, semillas, código del generador y scripts estadísticos cuando la implementación esté disponible. Los resultados de simulación deberán distinguirse de evidencia clínica o poblacional. Al no utilizar participantes ni datos reales, esta fase no implica consentimiento informado; cualquier estudio posterior con datos humanos deberá someterse a revisión ética y cumplir la normativa aplicable.</w:t>
      </w:r>
    </w:p>
    <w:p>
      <w:pPr>
        <w:keepNext/>
        <w:spacing w:before="240" w:after="120"/>
        <w:jc w:val="left"/>
      </w:pPr>
      <w:r>
        <w:rPr>
          <w:rFonts w:ascii="Times New Roman" w:hAnsi="Times New Roman"/>
          <w:b/>
          <w:color w:val="000000"/>
          <w:sz w:val="24"/>
        </w:rPr>
        <w:t>Referencias</w:t>
      </w:r>
    </w:p>
    <w:p>
      <w:pPr>
        <w:spacing w:line="240" w:lineRule="auto" w:after="120"/>
        <w:ind w:left="720" w:hanging="720"/>
        <w:jc w:val="left"/>
      </w:pPr>
      <w:r>
        <w:rPr>
          <w:rFonts w:ascii="Times New Roman" w:hAnsi="Times New Roman"/>
          <w:i w:val="0"/>
          <w:color w:val="000000"/>
          <w:sz w:val="20"/>
        </w:rPr>
        <w:t xml:space="preserve">Ab Hamid, J., Juni, M. H., Abdul Manaf, R., Syed Ismail, S. N., &amp; Lim, P. Y. (2023). Spatial accessibility of primary care in the dual public-private health system in rural areas, Malaysia. </w:t>
      </w:r>
      <w:r>
        <w:rPr>
          <w:rFonts w:ascii="Times New Roman" w:hAnsi="Times New Roman"/>
          <w:i/>
          <w:color w:val="000000"/>
          <w:sz w:val="20"/>
        </w:rPr>
        <w:t>International Journal of Environmental Research and Public Health, 20</w:t>
      </w:r>
      <w:r>
        <w:rPr>
          <w:rFonts w:ascii="Times New Roman" w:hAnsi="Times New Roman"/>
          <w:i w:val="0"/>
          <w:color w:val="000000"/>
          <w:sz w:val="20"/>
        </w:rPr>
        <w:t>(4), Article 3147. https://doi.org/10.3390/ijerph20043147</w:t>
      </w:r>
    </w:p>
    <w:p>
      <w:pPr>
        <w:spacing w:line="240" w:lineRule="auto" w:after="120"/>
        <w:ind w:left="720" w:hanging="720"/>
        <w:jc w:val="left"/>
      </w:pPr>
      <w:r>
        <w:rPr>
          <w:rFonts w:ascii="Times New Roman" w:hAnsi="Times New Roman"/>
          <w:i w:val="0"/>
          <w:color w:val="000000"/>
          <w:sz w:val="20"/>
        </w:rPr>
        <w:t xml:space="preserve">Armeni, P., Polat, I., De Rossi, L. M., Diaferia, L., Meregalli, S., &amp; Gatti, A. (2022). Digital twins in healthcare: Is it the beginning of a new era of evidence-based medicine? A critical review. </w:t>
      </w:r>
      <w:r>
        <w:rPr>
          <w:rFonts w:ascii="Times New Roman" w:hAnsi="Times New Roman"/>
          <w:i/>
          <w:color w:val="000000"/>
          <w:sz w:val="20"/>
        </w:rPr>
        <w:t>Journal of Personalized Medicine, 12</w:t>
      </w:r>
      <w:r>
        <w:rPr>
          <w:rFonts w:ascii="Times New Roman" w:hAnsi="Times New Roman"/>
          <w:i w:val="0"/>
          <w:color w:val="000000"/>
          <w:sz w:val="20"/>
        </w:rPr>
        <w:t>(8), Article 1255. https://doi.org/10.3390/jpm12081255</w:t>
      </w:r>
    </w:p>
    <w:p>
      <w:pPr>
        <w:spacing w:line="240" w:lineRule="auto" w:after="120"/>
        <w:ind w:left="720" w:hanging="720"/>
        <w:jc w:val="left"/>
      </w:pPr>
      <w:r>
        <w:rPr>
          <w:rFonts w:ascii="Times New Roman" w:hAnsi="Times New Roman"/>
          <w:i w:val="0"/>
          <w:color w:val="000000"/>
          <w:sz w:val="20"/>
        </w:rPr>
        <w:t xml:space="preserve">Arroyave Caicedo, N. M., Parry, E., Arslan, N., &amp; Park, S. (2024). Integration of social determinants of health information within the primary care electronic health record: A systematic review of patient perspectives and experiences. </w:t>
      </w:r>
      <w:r>
        <w:rPr>
          <w:rFonts w:ascii="Times New Roman" w:hAnsi="Times New Roman"/>
          <w:i/>
          <w:color w:val="000000"/>
          <w:sz w:val="20"/>
        </w:rPr>
        <w:t>BJGP Open, 8</w:t>
      </w:r>
      <w:r>
        <w:rPr>
          <w:rFonts w:ascii="Times New Roman" w:hAnsi="Times New Roman"/>
          <w:i w:val="0"/>
          <w:color w:val="000000"/>
          <w:sz w:val="20"/>
        </w:rPr>
        <w:t>(1), Article BJGPO.2023.0155. https://doi.org/10.3399/BJGPO.2023.0155</w:t>
      </w:r>
    </w:p>
    <w:p>
      <w:pPr>
        <w:spacing w:line="240" w:lineRule="auto" w:after="120"/>
        <w:ind w:left="720" w:hanging="720"/>
        <w:jc w:val="left"/>
      </w:pPr>
      <w:r>
        <w:rPr>
          <w:rFonts w:ascii="Times New Roman" w:hAnsi="Times New Roman"/>
          <w:i w:val="0"/>
          <w:color w:val="000000"/>
          <w:sz w:val="20"/>
        </w:rPr>
        <w:t xml:space="preserve">Bossenko, I., Randmaa, R., Piho, G., &amp; Ross, P. (2024). Interoperability of health data using FHIR Mapping Language: Transforming HL7 CDA to FHIR with reusable visual components. </w:t>
      </w:r>
      <w:r>
        <w:rPr>
          <w:rFonts w:ascii="Times New Roman" w:hAnsi="Times New Roman"/>
          <w:i/>
          <w:color w:val="000000"/>
          <w:sz w:val="20"/>
        </w:rPr>
        <w:t>Frontiers in Digital Health, 6</w:t>
      </w:r>
      <w:r>
        <w:rPr>
          <w:rFonts w:ascii="Times New Roman" w:hAnsi="Times New Roman"/>
          <w:i w:val="0"/>
          <w:color w:val="000000"/>
          <w:sz w:val="20"/>
        </w:rPr>
        <w:t>, Article 1480600. https://doi.org/10.3389/fdgth.2024.1480600</w:t>
      </w:r>
    </w:p>
    <w:p>
      <w:pPr>
        <w:spacing w:line="240" w:lineRule="auto" w:after="120"/>
        <w:ind w:left="720" w:hanging="720"/>
        <w:jc w:val="left"/>
      </w:pPr>
      <w:r>
        <w:rPr>
          <w:rFonts w:ascii="Times New Roman" w:hAnsi="Times New Roman"/>
          <w:i w:val="0"/>
          <w:color w:val="000000"/>
          <w:sz w:val="20"/>
        </w:rPr>
        <w:t xml:space="preserve">Craven, C. K., Highfield, L., Basit, M., Bernstam, E. V., Choi, B. Y., Ferrer, R. L., Gelfond, J. A., Pruitt, S. L., Kannan, V., Shireman, P. K., Spratt, H., Torres Morales, K. J., Wang, C. P., Wang, Z., Zozus, M. N., Sankary, E. C., &amp; Schmidt, S. (2024). Toward standardization, harmonization, and integration of social determinants of health data: A Texas Clinical and Translational Science Award institutions collaboration. </w:t>
      </w:r>
      <w:r>
        <w:rPr>
          <w:rFonts w:ascii="Times New Roman" w:hAnsi="Times New Roman"/>
          <w:i/>
          <w:color w:val="000000"/>
          <w:sz w:val="20"/>
        </w:rPr>
        <w:t>Journal of Clinical and Translational Science, 8</w:t>
      </w:r>
      <w:r>
        <w:rPr>
          <w:rFonts w:ascii="Times New Roman" w:hAnsi="Times New Roman"/>
          <w:i w:val="0"/>
          <w:color w:val="000000"/>
          <w:sz w:val="20"/>
        </w:rPr>
        <w:t>(1), Article e17. https://doi.org/10.1017/cts.2024.2</w:t>
      </w:r>
    </w:p>
    <w:p>
      <w:pPr>
        <w:spacing w:line="240" w:lineRule="auto" w:after="120"/>
        <w:ind w:left="720" w:hanging="720"/>
        <w:jc w:val="left"/>
      </w:pPr>
      <w:r>
        <w:rPr>
          <w:rFonts w:ascii="Times New Roman" w:hAnsi="Times New Roman"/>
          <w:i w:val="0"/>
          <w:color w:val="000000"/>
          <w:sz w:val="20"/>
        </w:rPr>
        <w:t xml:space="preserve">Cui, Y. (2025). Digital pathways connecting social and biological factors to health outcomes and equity. </w:t>
      </w:r>
      <w:r>
        <w:rPr>
          <w:rFonts w:ascii="Times New Roman" w:hAnsi="Times New Roman"/>
          <w:i/>
          <w:color w:val="000000"/>
          <w:sz w:val="20"/>
        </w:rPr>
        <w:t>npj Digital Medicine, 8</w:t>
      </w:r>
      <w:r>
        <w:rPr>
          <w:rFonts w:ascii="Times New Roman" w:hAnsi="Times New Roman"/>
          <w:i w:val="0"/>
          <w:color w:val="000000"/>
          <w:sz w:val="20"/>
        </w:rPr>
        <w:t>, Article 172. https://doi.org/10.1038/s41746-025-01564-8</w:t>
      </w:r>
    </w:p>
    <w:p>
      <w:pPr>
        <w:spacing w:line="240" w:lineRule="auto" w:after="120"/>
        <w:ind w:left="720" w:hanging="720"/>
        <w:jc w:val="left"/>
      </w:pPr>
      <w:r>
        <w:rPr>
          <w:rFonts w:ascii="Times New Roman" w:hAnsi="Times New Roman"/>
          <w:i w:val="0"/>
          <w:color w:val="000000"/>
          <w:sz w:val="20"/>
        </w:rPr>
        <w:t xml:space="preserve">Dang, Y., Li, F., Hu, X., Keloth, V. K., Zhang, M., Fu, S., Amith, M. F., Fan, J. W., Du, J., Yu, E., Liu, H., Jiang, X., Xu, H., &amp; Tao, C. (2023). Systematic design and data-driven evaluation of social determinants of health ontology (SDoHO). </w:t>
      </w:r>
      <w:r>
        <w:rPr>
          <w:rFonts w:ascii="Times New Roman" w:hAnsi="Times New Roman"/>
          <w:i/>
          <w:color w:val="000000"/>
          <w:sz w:val="20"/>
        </w:rPr>
        <w:t>Journal of the American Medical Informatics Association, 30</w:t>
      </w:r>
      <w:r>
        <w:rPr>
          <w:rFonts w:ascii="Times New Roman" w:hAnsi="Times New Roman"/>
          <w:i w:val="0"/>
          <w:color w:val="000000"/>
          <w:sz w:val="20"/>
        </w:rPr>
        <w:t>(9), 1465-1473. https://doi.org/10.1093/jamia/ocad096</w:t>
      </w:r>
    </w:p>
    <w:p>
      <w:pPr>
        <w:spacing w:line="240" w:lineRule="auto" w:after="120"/>
        <w:ind w:left="720" w:hanging="720"/>
        <w:jc w:val="left"/>
      </w:pPr>
      <w:r>
        <w:rPr>
          <w:rFonts w:ascii="Times New Roman" w:hAnsi="Times New Roman"/>
          <w:i w:val="0"/>
          <w:color w:val="000000"/>
          <w:sz w:val="20"/>
        </w:rPr>
        <w:t xml:space="preserve">Domínguez-Bolaño, T., Campos, O., Barral, V., Escudero, C. J., &amp; García-Naya, J. A. (2022). An overview of IoT architectures, technologies, and existing open-source projects. </w:t>
      </w:r>
      <w:r>
        <w:rPr>
          <w:rFonts w:ascii="Times New Roman" w:hAnsi="Times New Roman"/>
          <w:i/>
          <w:color w:val="000000"/>
          <w:sz w:val="20"/>
        </w:rPr>
        <w:t>Internet of Things, 20</w:t>
      </w:r>
      <w:r>
        <w:rPr>
          <w:rFonts w:ascii="Times New Roman" w:hAnsi="Times New Roman"/>
          <w:i w:val="0"/>
          <w:color w:val="000000"/>
          <w:sz w:val="20"/>
        </w:rPr>
        <w:t>, Article 100626. https://doi.org/10.1016/j.iot.2022.100626</w:t>
      </w:r>
    </w:p>
    <w:p>
      <w:pPr>
        <w:spacing w:line="240" w:lineRule="auto" w:after="120"/>
        <w:ind w:left="720" w:hanging="720"/>
        <w:jc w:val="left"/>
      </w:pPr>
      <w:r>
        <w:rPr>
          <w:rFonts w:ascii="Times New Roman" w:hAnsi="Times New Roman"/>
          <w:i w:val="0"/>
          <w:color w:val="000000"/>
          <w:sz w:val="20"/>
        </w:rPr>
        <w:t xml:space="preserve">Elkefi, S., &amp; Asan, O. (2022). Digital twins for managing health care systems: Rapid literature review. </w:t>
      </w:r>
      <w:r>
        <w:rPr>
          <w:rFonts w:ascii="Times New Roman" w:hAnsi="Times New Roman"/>
          <w:i/>
          <w:color w:val="000000"/>
          <w:sz w:val="20"/>
        </w:rPr>
        <w:t>Journal of Medical Internet Research, 24</w:t>
      </w:r>
      <w:r>
        <w:rPr>
          <w:rFonts w:ascii="Times New Roman" w:hAnsi="Times New Roman"/>
          <w:i w:val="0"/>
          <w:color w:val="000000"/>
          <w:sz w:val="20"/>
        </w:rPr>
        <w:t>(8), Article e37641. https://doi.org/10.2196/37641</w:t>
      </w:r>
    </w:p>
    <w:p>
      <w:pPr>
        <w:spacing w:line="240" w:lineRule="auto" w:after="120"/>
        <w:ind w:left="720" w:hanging="720"/>
        <w:jc w:val="left"/>
      </w:pPr>
      <w:r>
        <w:rPr>
          <w:rFonts w:ascii="Times New Roman" w:hAnsi="Times New Roman"/>
          <w:i w:val="0"/>
          <w:color w:val="000000"/>
          <w:sz w:val="20"/>
        </w:rPr>
        <w:t xml:space="preserve">Hashtarkhani, S., Schwartz, D. L., &amp; Shaban-Nejad, A. (2024). Enhancing health care accessibility and equity through a geoprocessing toolbox for spatial accessibility analysis: Development and case study. </w:t>
      </w:r>
      <w:r>
        <w:rPr>
          <w:rFonts w:ascii="Times New Roman" w:hAnsi="Times New Roman"/>
          <w:i/>
          <w:color w:val="000000"/>
          <w:sz w:val="20"/>
        </w:rPr>
        <w:t>JMIR Formative Research, 8</w:t>
      </w:r>
      <w:r>
        <w:rPr>
          <w:rFonts w:ascii="Times New Roman" w:hAnsi="Times New Roman"/>
          <w:i w:val="0"/>
          <w:color w:val="000000"/>
          <w:sz w:val="20"/>
        </w:rPr>
        <w:t>, Article e51727. https://doi.org/10.2196/51727</w:t>
      </w:r>
    </w:p>
    <w:p>
      <w:pPr>
        <w:spacing w:line="240" w:lineRule="auto" w:after="120"/>
        <w:ind w:left="720" w:hanging="720"/>
        <w:jc w:val="left"/>
      </w:pPr>
      <w:r>
        <w:rPr>
          <w:rFonts w:ascii="Times New Roman" w:hAnsi="Times New Roman"/>
          <w:i w:val="0"/>
          <w:color w:val="000000"/>
          <w:sz w:val="20"/>
        </w:rPr>
        <w:t xml:space="preserve">Jayachandran, N., Abdrabou, A., &amp; Al Bataineh, M. (2025). An architecture and realisation of a smart city digital twin with eHealth case studies. </w:t>
      </w:r>
      <w:r>
        <w:rPr>
          <w:rFonts w:ascii="Times New Roman" w:hAnsi="Times New Roman"/>
          <w:i/>
          <w:color w:val="000000"/>
          <w:sz w:val="20"/>
        </w:rPr>
        <w:t>IET Smart Cities, 7</w:t>
      </w:r>
      <w:r>
        <w:rPr>
          <w:rFonts w:ascii="Times New Roman" w:hAnsi="Times New Roman"/>
          <w:i w:val="0"/>
          <w:color w:val="000000"/>
          <w:sz w:val="20"/>
        </w:rPr>
        <w:t>(1), Article e70006. https://doi.org/10.1049/smc2.70006</w:t>
      </w:r>
    </w:p>
    <w:p>
      <w:pPr>
        <w:spacing w:line="240" w:lineRule="auto" w:after="120"/>
        <w:ind w:left="720" w:hanging="720"/>
        <w:jc w:val="left"/>
      </w:pPr>
      <w:r>
        <w:rPr>
          <w:rFonts w:ascii="Times New Roman" w:hAnsi="Times New Roman"/>
          <w:i w:val="0"/>
          <w:color w:val="000000"/>
          <w:sz w:val="20"/>
        </w:rPr>
        <w:t xml:space="preserve">Katsoulakis, E., Wang, Q., Wu, H., Shahriyari, L., Fletcher, R., Liu, J., Achenie, L., Liu, H., Jackson, P., Xiao, Y., Syeda-Mahmood, T., Tuli, R., &amp; Deng, J. (2024). Digital twins for health: A scoping review. </w:t>
      </w:r>
      <w:r>
        <w:rPr>
          <w:rFonts w:ascii="Times New Roman" w:hAnsi="Times New Roman"/>
          <w:i/>
          <w:color w:val="000000"/>
          <w:sz w:val="20"/>
        </w:rPr>
        <w:t>npj Digital Medicine, 7</w:t>
      </w:r>
      <w:r>
        <w:rPr>
          <w:rFonts w:ascii="Times New Roman" w:hAnsi="Times New Roman"/>
          <w:i w:val="0"/>
          <w:color w:val="000000"/>
          <w:sz w:val="20"/>
        </w:rPr>
        <w:t>, Article 77. https://doi.org/10.1038/s41746-024-01073-0</w:t>
      </w:r>
    </w:p>
    <w:p>
      <w:pPr>
        <w:spacing w:line="240" w:lineRule="auto" w:after="120"/>
        <w:ind w:left="720" w:hanging="720"/>
        <w:jc w:val="left"/>
      </w:pPr>
      <w:r>
        <w:rPr>
          <w:rFonts w:ascii="Times New Roman" w:hAnsi="Times New Roman"/>
          <w:i w:val="0"/>
          <w:color w:val="000000"/>
          <w:sz w:val="20"/>
        </w:rPr>
        <w:t xml:space="preserve">Khurshid, A., Hautala, M., Oliveira, E., Lakshminarayanan, V., Abrol, V., Collier, J., Rosseau, J., Granado, L., Nallaparaju, S., Mitra, K., &amp; Sohail, R. (2023). Social and Health Information Platform: Piloting a standards-based, digital platform linking social determinants of health data into clinical workflows for community-wide use. </w:t>
      </w:r>
      <w:r>
        <w:rPr>
          <w:rFonts w:ascii="Times New Roman" w:hAnsi="Times New Roman"/>
          <w:i/>
          <w:color w:val="000000"/>
          <w:sz w:val="20"/>
        </w:rPr>
        <w:t>Applied Clinical Informatics, 14</w:t>
      </w:r>
      <w:r>
        <w:rPr>
          <w:rFonts w:ascii="Times New Roman" w:hAnsi="Times New Roman"/>
          <w:i w:val="0"/>
          <w:color w:val="000000"/>
          <w:sz w:val="20"/>
        </w:rPr>
        <w:t>(5), 883-892. https://doi.org/10.1055/s-0043-1774819</w:t>
      </w:r>
    </w:p>
    <w:p>
      <w:pPr>
        <w:spacing w:line="240" w:lineRule="auto" w:after="120"/>
        <w:ind w:left="720" w:hanging="720"/>
        <w:jc w:val="left"/>
      </w:pPr>
      <w:r>
        <w:rPr>
          <w:rFonts w:ascii="Times New Roman" w:hAnsi="Times New Roman"/>
          <w:i w:val="0"/>
          <w:color w:val="000000"/>
          <w:sz w:val="20"/>
        </w:rPr>
        <w:t xml:space="preserve">Kuruppu Appuhamilage, G. D. K., Hussain, M., Zaman, M., &amp; Ali Khan, W. (2025). A health digital twin framework for discrete event simulation based optimised critical care workflows. </w:t>
      </w:r>
      <w:r>
        <w:rPr>
          <w:rFonts w:ascii="Times New Roman" w:hAnsi="Times New Roman"/>
          <w:i/>
          <w:color w:val="000000"/>
          <w:sz w:val="20"/>
        </w:rPr>
        <w:t>npj Digital Medicine, 8</w:t>
      </w:r>
      <w:r>
        <w:rPr>
          <w:rFonts w:ascii="Times New Roman" w:hAnsi="Times New Roman"/>
          <w:i w:val="0"/>
          <w:color w:val="000000"/>
          <w:sz w:val="20"/>
        </w:rPr>
        <w:t>, Article 376. https://doi.org/10.1038/s41746-025-01738-4</w:t>
      </w:r>
    </w:p>
    <w:p>
      <w:pPr>
        <w:spacing w:line="240" w:lineRule="auto" w:after="120"/>
        <w:ind w:left="720" w:hanging="720"/>
        <w:jc w:val="left"/>
      </w:pPr>
      <w:r>
        <w:rPr>
          <w:rFonts w:ascii="Times New Roman" w:hAnsi="Times New Roman"/>
          <w:i w:val="0"/>
          <w:color w:val="000000"/>
          <w:sz w:val="20"/>
        </w:rPr>
        <w:t xml:space="preserve">Liu, L., Zhao, Y., Lyu, H., Chen, S., Tu, Y., &amp; Huang, S. (2023). Spatial accessibility and equity evaluation of medical facilities based on improved 2SFCA: A case study in Xi'an, China. </w:t>
      </w:r>
      <w:r>
        <w:rPr>
          <w:rFonts w:ascii="Times New Roman" w:hAnsi="Times New Roman"/>
          <w:i/>
          <w:color w:val="000000"/>
          <w:sz w:val="20"/>
        </w:rPr>
        <w:t>International Journal of Environmental Research and Public Health, 20</w:t>
      </w:r>
      <w:r>
        <w:rPr>
          <w:rFonts w:ascii="Times New Roman" w:hAnsi="Times New Roman"/>
          <w:i w:val="0"/>
          <w:color w:val="000000"/>
          <w:sz w:val="20"/>
        </w:rPr>
        <w:t>(3), Article 2076. https://doi.org/10.3390/ijerph20032076</w:t>
      </w:r>
    </w:p>
    <w:p>
      <w:pPr>
        <w:spacing w:line="240" w:lineRule="auto" w:after="120"/>
        <w:ind w:left="720" w:hanging="720"/>
        <w:jc w:val="left"/>
      </w:pPr>
      <w:r>
        <w:rPr>
          <w:rFonts w:ascii="Times New Roman" w:hAnsi="Times New Roman"/>
          <w:i w:val="0"/>
          <w:color w:val="000000"/>
          <w:sz w:val="20"/>
        </w:rPr>
        <w:t xml:space="preserve">Markatou, M., Kennedy, O., Brachmann, M., Mukhopadhyay, R., Dharia, A., &amp; Talal, A. H. (2023). Social determinants of health derived from people with opioid use disorder: Improving data collection, integration and use with cross-domain collaboration and reproducible, data-centric, notebook-style workflows. </w:t>
      </w:r>
      <w:r>
        <w:rPr>
          <w:rFonts w:ascii="Times New Roman" w:hAnsi="Times New Roman"/>
          <w:i/>
          <w:color w:val="000000"/>
          <w:sz w:val="20"/>
        </w:rPr>
        <w:t>Frontiers in Medicine, 10</w:t>
      </w:r>
      <w:r>
        <w:rPr>
          <w:rFonts w:ascii="Times New Roman" w:hAnsi="Times New Roman"/>
          <w:i w:val="0"/>
          <w:color w:val="000000"/>
          <w:sz w:val="20"/>
        </w:rPr>
        <w:t>, Article 1076794. https://doi.org/10.3389/fmed.2023.1076794</w:t>
      </w:r>
    </w:p>
    <w:p>
      <w:pPr>
        <w:spacing w:line="240" w:lineRule="auto" w:after="120"/>
        <w:ind w:left="720" w:hanging="720"/>
        <w:jc w:val="left"/>
      </w:pPr>
      <w:r>
        <w:rPr>
          <w:rFonts w:ascii="Times New Roman" w:hAnsi="Times New Roman"/>
          <w:i w:val="0"/>
          <w:color w:val="000000"/>
          <w:sz w:val="20"/>
        </w:rPr>
        <w:t xml:space="preserve">Papachristou, K., Katsakiori, P. F., Papadimitroulas, P., Strigari, L., &amp; Kagadis, G. C. (2024). Digital twins' advancements and applications in healthcare, towards precision medicine. </w:t>
      </w:r>
      <w:r>
        <w:rPr>
          <w:rFonts w:ascii="Times New Roman" w:hAnsi="Times New Roman"/>
          <w:i/>
          <w:color w:val="000000"/>
          <w:sz w:val="20"/>
        </w:rPr>
        <w:t>Journal of Personalized Medicine, 14</w:t>
      </w:r>
      <w:r>
        <w:rPr>
          <w:rFonts w:ascii="Times New Roman" w:hAnsi="Times New Roman"/>
          <w:i w:val="0"/>
          <w:color w:val="000000"/>
          <w:sz w:val="20"/>
        </w:rPr>
        <w:t>(11), Article 1101. https://doi.org/10.3390/jpm14111101</w:t>
      </w:r>
    </w:p>
    <w:p>
      <w:pPr>
        <w:spacing w:line="240" w:lineRule="auto" w:after="120"/>
        <w:ind w:left="720" w:hanging="720"/>
        <w:jc w:val="left"/>
      </w:pPr>
      <w:r>
        <w:rPr>
          <w:rFonts w:ascii="Times New Roman" w:hAnsi="Times New Roman"/>
          <w:i w:val="0"/>
          <w:color w:val="000000"/>
          <w:sz w:val="20"/>
        </w:rPr>
        <w:t xml:space="preserve">Pearson, J., Jacobson, C., Ugochukwu, N., Asare, E., Kan, K., Pace, N., Han, J., Wan, N., Schonberger, R., &amp; Andreae, M. (2023). Geospatial analysis of patients' social determinants of health for health systems science and disparity research. </w:t>
      </w:r>
      <w:r>
        <w:rPr>
          <w:rFonts w:ascii="Times New Roman" w:hAnsi="Times New Roman"/>
          <w:i/>
          <w:color w:val="000000"/>
          <w:sz w:val="20"/>
        </w:rPr>
        <w:t>International Anesthesiology Clinics, 61</w:t>
      </w:r>
      <w:r>
        <w:rPr>
          <w:rFonts w:ascii="Times New Roman" w:hAnsi="Times New Roman"/>
          <w:i w:val="0"/>
          <w:color w:val="000000"/>
          <w:sz w:val="20"/>
        </w:rPr>
        <w:t>(1), 49-62. https://doi.org/10.1097/AIA.0000000000000389</w:t>
      </w:r>
    </w:p>
    <w:p>
      <w:pPr>
        <w:spacing w:line="240" w:lineRule="auto" w:after="120"/>
        <w:ind w:left="720" w:hanging="720"/>
        <w:jc w:val="left"/>
      </w:pPr>
      <w:r>
        <w:rPr>
          <w:rFonts w:ascii="Times New Roman" w:hAnsi="Times New Roman"/>
          <w:i w:val="0"/>
          <w:color w:val="000000"/>
          <w:sz w:val="20"/>
        </w:rPr>
        <w:t xml:space="preserve">Pérez-Fernández, O., &amp; Michel, G. R. (2025). Spatial accessibility to healthcare facilities: GIS-based public-private comparative analysis using floating catchment methods. </w:t>
      </w:r>
      <w:r>
        <w:rPr>
          <w:rFonts w:ascii="Times New Roman" w:hAnsi="Times New Roman"/>
          <w:i/>
          <w:color w:val="000000"/>
          <w:sz w:val="20"/>
        </w:rPr>
        <w:t>ISPRS International Journal of Geo-Information, 14</w:t>
      </w:r>
      <w:r>
        <w:rPr>
          <w:rFonts w:ascii="Times New Roman" w:hAnsi="Times New Roman"/>
          <w:i w:val="0"/>
          <w:color w:val="000000"/>
          <w:sz w:val="20"/>
        </w:rPr>
        <w:t>(7), Article 253. https://doi.org/10.3390/ijgi14070253</w:t>
      </w:r>
    </w:p>
    <w:p>
      <w:pPr>
        <w:spacing w:line="240" w:lineRule="auto" w:after="120"/>
        <w:ind w:left="720" w:hanging="720"/>
        <w:jc w:val="left"/>
      </w:pPr>
      <w:r>
        <w:rPr>
          <w:rFonts w:ascii="Times New Roman" w:hAnsi="Times New Roman"/>
          <w:i w:val="0"/>
          <w:color w:val="000000"/>
          <w:sz w:val="20"/>
        </w:rPr>
        <w:t xml:space="preserve">Rehan, M. W., &amp; Rehan, M. M. (2025). Survey, taxonomy, and emerging paradigms of societal digital twins for public health preparedness. </w:t>
      </w:r>
      <w:r>
        <w:rPr>
          <w:rFonts w:ascii="Times New Roman" w:hAnsi="Times New Roman"/>
          <w:i/>
          <w:color w:val="000000"/>
          <w:sz w:val="20"/>
        </w:rPr>
        <w:t>npj Digital Medicine, 8</w:t>
      </w:r>
      <w:r>
        <w:rPr>
          <w:rFonts w:ascii="Times New Roman" w:hAnsi="Times New Roman"/>
          <w:i w:val="0"/>
          <w:color w:val="000000"/>
          <w:sz w:val="20"/>
        </w:rPr>
        <w:t>, Article 520. https://doi.org/10.1038/s41746-025-01737-5</w:t>
      </w:r>
    </w:p>
    <w:p>
      <w:pPr>
        <w:spacing w:line="240" w:lineRule="auto" w:after="120"/>
        <w:ind w:left="720" w:hanging="720"/>
        <w:jc w:val="left"/>
      </w:pPr>
      <w:r>
        <w:rPr>
          <w:rFonts w:ascii="Times New Roman" w:hAnsi="Times New Roman"/>
          <w:i w:val="0"/>
          <w:color w:val="000000"/>
          <w:sz w:val="20"/>
        </w:rPr>
        <w:t xml:space="preserve">Ringeval, M., Etindele Sosso, F. A., Cousineau, M., &amp; Paré, G. (2025). Advancing health care with digital twins: Meta-review of applications and implementation challenges. </w:t>
      </w:r>
      <w:r>
        <w:rPr>
          <w:rFonts w:ascii="Times New Roman" w:hAnsi="Times New Roman"/>
          <w:i/>
          <w:color w:val="000000"/>
          <w:sz w:val="20"/>
        </w:rPr>
        <w:t>Journal of Medical Internet Research, 27</w:t>
      </w:r>
      <w:r>
        <w:rPr>
          <w:rFonts w:ascii="Times New Roman" w:hAnsi="Times New Roman"/>
          <w:i w:val="0"/>
          <w:color w:val="000000"/>
          <w:sz w:val="20"/>
        </w:rPr>
        <w:t>, Article e69544. https://doi.org/10.2196/69544</w:t>
      </w:r>
    </w:p>
    <w:p>
      <w:pPr>
        <w:spacing w:line="240" w:lineRule="auto" w:after="120"/>
        <w:ind w:left="720" w:hanging="720"/>
        <w:jc w:val="left"/>
      </w:pPr>
      <w:r>
        <w:rPr>
          <w:rFonts w:ascii="Times New Roman" w:hAnsi="Times New Roman"/>
          <w:i w:val="0"/>
          <w:color w:val="000000"/>
          <w:sz w:val="20"/>
        </w:rPr>
        <w:t xml:space="preserve">Salvacion, A. R. (2022). Measuring spatial accessibility of healthcare facilities in Marinduque, Philippines. </w:t>
      </w:r>
      <w:r>
        <w:rPr>
          <w:rFonts w:ascii="Times New Roman" w:hAnsi="Times New Roman"/>
          <w:i/>
          <w:color w:val="000000"/>
          <w:sz w:val="20"/>
        </w:rPr>
        <w:t>ISPRS International Journal of Geo-Information, 11</w:t>
      </w:r>
      <w:r>
        <w:rPr>
          <w:rFonts w:ascii="Times New Roman" w:hAnsi="Times New Roman"/>
          <w:i w:val="0"/>
          <w:color w:val="000000"/>
          <w:sz w:val="20"/>
        </w:rPr>
        <w:t>(10), Article 516. https://doi.org/10.3390/ijgi11100516</w:t>
      </w:r>
    </w:p>
    <w:p>
      <w:pPr>
        <w:spacing w:line="240" w:lineRule="auto" w:after="120"/>
        <w:ind w:left="720" w:hanging="720"/>
        <w:jc w:val="left"/>
      </w:pPr>
      <w:r>
        <w:rPr>
          <w:rFonts w:ascii="Times New Roman" w:hAnsi="Times New Roman"/>
          <w:i w:val="0"/>
          <w:color w:val="000000"/>
          <w:sz w:val="20"/>
        </w:rPr>
        <w:t xml:space="preserve">Schappe, T., McElroy, L. M., Ogundolie, M., Matsouaka, R., Rogers, U., &amp; Bhavsar, N. A. (2025). A data pipeline for secure extraction and sharing of social determinants of health. </w:t>
      </w:r>
      <w:r>
        <w:rPr>
          <w:rFonts w:ascii="Times New Roman" w:hAnsi="Times New Roman"/>
          <w:i/>
          <w:color w:val="000000"/>
          <w:sz w:val="20"/>
        </w:rPr>
        <w:t>PLOS ONE, 20</w:t>
      </w:r>
      <w:r>
        <w:rPr>
          <w:rFonts w:ascii="Times New Roman" w:hAnsi="Times New Roman"/>
          <w:i w:val="0"/>
          <w:color w:val="000000"/>
          <w:sz w:val="20"/>
        </w:rPr>
        <w:t>(1), Article e0317215. https://doi.org/10.1371/journal.pone.0317215</w:t>
      </w:r>
    </w:p>
    <w:p>
      <w:pPr>
        <w:spacing w:line="240" w:lineRule="auto" w:after="120"/>
        <w:ind w:left="720" w:hanging="720"/>
        <w:jc w:val="left"/>
      </w:pPr>
      <w:r>
        <w:rPr>
          <w:rFonts w:ascii="Times New Roman" w:hAnsi="Times New Roman"/>
          <w:i w:val="0"/>
          <w:color w:val="000000"/>
          <w:sz w:val="20"/>
        </w:rPr>
        <w:t xml:space="preserve">Shen, M.-D., Chen, S.-B., &amp; Ding, X.-D. (2024). The effectiveness of digital twins in promoting precision health across the entire population: A systematic review. </w:t>
      </w:r>
      <w:r>
        <w:rPr>
          <w:rFonts w:ascii="Times New Roman" w:hAnsi="Times New Roman"/>
          <w:i/>
          <w:color w:val="000000"/>
          <w:sz w:val="20"/>
        </w:rPr>
        <w:t>npj Digital Medicine, 7</w:t>
      </w:r>
      <w:r>
        <w:rPr>
          <w:rFonts w:ascii="Times New Roman" w:hAnsi="Times New Roman"/>
          <w:i w:val="0"/>
          <w:color w:val="000000"/>
          <w:sz w:val="20"/>
        </w:rPr>
        <w:t>, Article 145. https://doi.org/10.1038/s41746-024-01146-0</w:t>
      </w:r>
    </w:p>
    <w:p>
      <w:pPr>
        <w:spacing w:line="240" w:lineRule="auto" w:after="120"/>
        <w:ind w:left="720" w:hanging="720"/>
        <w:jc w:val="left"/>
      </w:pPr>
      <w:r>
        <w:rPr>
          <w:rFonts w:ascii="Times New Roman" w:hAnsi="Times New Roman"/>
          <w:i w:val="0"/>
          <w:color w:val="000000"/>
          <w:sz w:val="20"/>
        </w:rPr>
        <w:t xml:space="preserve">Sun, S., Sun, Q., Zhang, F., &amp; Ma, J. (2024). A spatial accessibility study of public hospitals: A multi-mode gravity-based two-step floating catchment area method. </w:t>
      </w:r>
      <w:r>
        <w:rPr>
          <w:rFonts w:ascii="Times New Roman" w:hAnsi="Times New Roman"/>
          <w:i/>
          <w:color w:val="000000"/>
          <w:sz w:val="20"/>
        </w:rPr>
        <w:t>Applied Sciences, 14</w:t>
      </w:r>
      <w:r>
        <w:rPr>
          <w:rFonts w:ascii="Times New Roman" w:hAnsi="Times New Roman"/>
          <w:i w:val="0"/>
          <w:color w:val="000000"/>
          <w:sz w:val="20"/>
        </w:rPr>
        <w:t>(17), Article 7713. https://doi.org/10.3390/app14177713</w:t>
      </w:r>
    </w:p>
    <w:p>
      <w:pPr>
        <w:spacing w:line="240" w:lineRule="auto" w:after="120"/>
        <w:ind w:left="720" w:hanging="720"/>
        <w:jc w:val="left"/>
      </w:pPr>
      <w:r>
        <w:rPr>
          <w:rFonts w:ascii="Times New Roman" w:hAnsi="Times New Roman"/>
          <w:i w:val="0"/>
          <w:color w:val="000000"/>
          <w:sz w:val="20"/>
        </w:rPr>
        <w:t xml:space="preserve">Sun, T., He, X., Song, X., Shu, L., &amp; Li, Z. (2022). The digital twin in medicine: A key to the future of healthcare? </w:t>
      </w:r>
      <w:r>
        <w:rPr>
          <w:rFonts w:ascii="Times New Roman" w:hAnsi="Times New Roman"/>
          <w:i/>
          <w:color w:val="000000"/>
          <w:sz w:val="20"/>
        </w:rPr>
        <w:t>Frontiers in Medicine, 9</w:t>
      </w:r>
      <w:r>
        <w:rPr>
          <w:rFonts w:ascii="Times New Roman" w:hAnsi="Times New Roman"/>
          <w:i w:val="0"/>
          <w:color w:val="000000"/>
          <w:sz w:val="20"/>
        </w:rPr>
        <w:t>, Article 907066. https://doi.org/10.3389/fmed.2022.907066</w:t>
      </w:r>
    </w:p>
    <w:p>
      <w:pPr>
        <w:spacing w:line="240" w:lineRule="auto" w:after="120"/>
        <w:ind w:left="720" w:hanging="720"/>
        <w:jc w:val="left"/>
      </w:pPr>
      <w:r>
        <w:rPr>
          <w:rFonts w:ascii="Times New Roman" w:hAnsi="Times New Roman"/>
          <w:i w:val="0"/>
          <w:color w:val="000000"/>
          <w:sz w:val="20"/>
        </w:rPr>
        <w:t xml:space="preserve">Vallée, A. (2023). Digital twin for healthcare systems. </w:t>
      </w:r>
      <w:r>
        <w:rPr>
          <w:rFonts w:ascii="Times New Roman" w:hAnsi="Times New Roman"/>
          <w:i/>
          <w:color w:val="000000"/>
          <w:sz w:val="20"/>
        </w:rPr>
        <w:t>Frontiers in Digital Health, 5</w:t>
      </w:r>
      <w:r>
        <w:rPr>
          <w:rFonts w:ascii="Times New Roman" w:hAnsi="Times New Roman"/>
          <w:i w:val="0"/>
          <w:color w:val="000000"/>
          <w:sz w:val="20"/>
        </w:rPr>
        <w:t>, Article 1253050. https://doi.org/10.3389/fdgth.2023.1253050</w:t>
      </w:r>
    </w:p>
    <w:p>
      <w:pPr>
        <w:spacing w:line="240" w:lineRule="auto" w:after="120"/>
        <w:ind w:left="720" w:hanging="720"/>
        <w:jc w:val="left"/>
      </w:pPr>
      <w:r>
        <w:rPr>
          <w:rFonts w:ascii="Times New Roman" w:hAnsi="Times New Roman"/>
          <w:i w:val="0"/>
          <w:color w:val="000000"/>
          <w:sz w:val="20"/>
        </w:rPr>
        <w:t xml:space="preserve">Venkatesh, K. P., Raza, M. M., &amp; Kvedar, J. C. (2022). Health digital twins as tools for precision medicine: Considerations for computation, implementation, and regulation. </w:t>
      </w:r>
      <w:r>
        <w:rPr>
          <w:rFonts w:ascii="Times New Roman" w:hAnsi="Times New Roman"/>
          <w:i/>
          <w:color w:val="000000"/>
          <w:sz w:val="20"/>
        </w:rPr>
        <w:t>npj Digital Medicine, 5</w:t>
      </w:r>
      <w:r>
        <w:rPr>
          <w:rFonts w:ascii="Times New Roman" w:hAnsi="Times New Roman"/>
          <w:i w:val="0"/>
          <w:color w:val="000000"/>
          <w:sz w:val="20"/>
        </w:rPr>
        <w:t>, Article 150. https://doi.org/10.1038/s41746-022-00694-7</w:t>
      </w:r>
    </w:p>
    <w:p>
      <w:pPr>
        <w:spacing w:line="240" w:lineRule="auto" w:after="120"/>
        <w:ind w:left="720" w:hanging="720"/>
        <w:jc w:val="left"/>
      </w:pPr>
      <w:r>
        <w:rPr>
          <w:rFonts w:ascii="Times New Roman" w:hAnsi="Times New Roman"/>
          <w:i w:val="0"/>
          <w:color w:val="000000"/>
          <w:sz w:val="20"/>
        </w:rPr>
        <w:t xml:space="preserve">Wu, H., Ji, P., Ma, H., &amp; Xing, L. (2023). A comprehensive review of digital twin from the perspective of total process: Data, models, networks and applications. </w:t>
      </w:r>
      <w:r>
        <w:rPr>
          <w:rFonts w:ascii="Times New Roman" w:hAnsi="Times New Roman"/>
          <w:i/>
          <w:color w:val="000000"/>
          <w:sz w:val="20"/>
        </w:rPr>
        <w:t>Sensors, 23</w:t>
      </w:r>
      <w:r>
        <w:rPr>
          <w:rFonts w:ascii="Times New Roman" w:hAnsi="Times New Roman"/>
          <w:i w:val="0"/>
          <w:color w:val="000000"/>
          <w:sz w:val="20"/>
        </w:rPr>
        <w:t>(19), Article 8306. https://doi.org/10.3390/s23198306</w:t>
      </w:r>
    </w:p>
    <w:p>
      <w:pPr>
        <w:spacing w:line="240" w:lineRule="auto" w:after="120"/>
        <w:ind w:left="720" w:hanging="720"/>
        <w:jc w:val="left"/>
      </w:pPr>
      <w:r>
        <w:rPr>
          <w:rFonts w:ascii="Times New Roman" w:hAnsi="Times New Roman"/>
          <w:i w:val="0"/>
          <w:color w:val="000000"/>
          <w:sz w:val="20"/>
        </w:rPr>
        <w:t xml:space="preserve">Zhang, K., Zhou, H.-Y., Baptista-Hon, D. T., Gao, Y., Liu, X., Oermann, E., Xu, S., Jin, S., Zhang, J., Sun, Z., Yin, Y., Razmi, R. M., Loupy, A., Beck, S., Qu, J., Wu, J., &amp; International Consortium of Digital Twins in Medicine. (2024). Concepts and applications of digital twins in healthcare and medicine. </w:t>
      </w:r>
      <w:r>
        <w:rPr>
          <w:rFonts w:ascii="Times New Roman" w:hAnsi="Times New Roman"/>
          <w:i/>
          <w:color w:val="000000"/>
          <w:sz w:val="20"/>
        </w:rPr>
        <w:t>Patterns, 5</w:t>
      </w:r>
      <w:r>
        <w:rPr>
          <w:rFonts w:ascii="Times New Roman" w:hAnsi="Times New Roman"/>
          <w:i w:val="0"/>
          <w:color w:val="000000"/>
          <w:sz w:val="20"/>
        </w:rPr>
        <w:t>(8), Article 101028. https://doi.org/10.1016/j.patter.2024.101028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