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rFonts w:ascii="Times New Roman" w:hAnsi="Times New Roman" w:eastAsia="黑体"/>
          <w:b/>
          <w:sz w:val="44"/>
        </w:rPr>
        <w:t>福建人的口感</w:t>
      </w:r>
    </w:p>
    <w:p>
      <w:pPr>
        <w:spacing w:after="320"/>
        <w:jc w:val="center"/>
      </w:pPr>
      <w:r>
        <w:rPr>
          <w:rFonts w:ascii="Times New Roman" w:hAnsi="Times New Roman" w:eastAsia="黑体"/>
          <w:b w:val="0"/>
          <w:color w:val="444444"/>
          <w:sz w:val="28"/>
        </w:rPr>
        <w:t>——从「广东人吃福建人」到一份假设性感官评鉴的五命题研究</w:t>
      </w:r>
    </w:p>
    <w:p>
      <w:pPr>
        <w:spacing w:after="80" w:line="336" w:lineRule="auto"/>
        <w:ind w:left="340" w:right="340"/>
      </w:pPr>
      <w:r>
        <w:rPr>
          <w:rFonts w:ascii="Times New Roman" w:hAnsi="Times New Roman" w:eastAsia="宋体"/>
          <w:b w:val="0"/>
          <w:color w:val="333333"/>
          <w:sz w:val="22"/>
        </w:rPr>
        <w:t>2026 年 10 月 16 日</w:t>
      </w:r>
    </w:p>
    <w:p>
      <w:pPr>
        <w:spacing w:after="80" w:line="336" w:lineRule="auto"/>
        <w:ind w:left="340" w:right="340"/>
      </w:pPr>
      <w:r>
        <w:rPr>
          <w:rFonts w:ascii="Times New Roman" w:hAnsi="Times New Roman" w:eastAsia="黑体"/>
          <w:b/>
          <w:color w:val="333333"/>
          <w:sz w:val="22"/>
        </w:rPr>
        <w:t>摘要</w:t>
      </w:r>
      <w:r>
        <w:rPr>
          <w:rFonts w:ascii="Times New Roman" w:hAnsi="Times New Roman" w:eastAsia="宋体"/>
          <w:b w:val="0"/>
          <w:color w:val="333333"/>
          <w:sz w:val="22"/>
        </w:rPr>
        <w:t>：本文以流传十余年的地域迷因「广东人吃福建人」为对象，在「假设福建人可作为食材接受标准化感官评价」这一公理化前提下，综合食品感官科学、肉品品质科学与福建饮食文化研究的既有结论，推断其感官品质特征。论证由五个递进命题承担：其一，</w:t>
      </w:r>
      <w:r>
        <w:rPr>
          <w:rFonts w:ascii="Times New Roman" w:hAnsi="Times New Roman" w:eastAsia="黑体"/>
          <w:b/>
          <w:color w:val="333333"/>
          <w:sz w:val="22"/>
        </w:rPr>
        <w:t>风味基底命题</w:t>
      </w:r>
      <w:r>
        <w:rPr>
          <w:rFonts w:ascii="Times New Roman" w:hAnsi="Times New Roman" w:eastAsia="宋体"/>
          <w:b w:val="0"/>
          <w:color w:val="333333"/>
          <w:sz w:val="22"/>
        </w:rPr>
        <w:t>——风味前体物由饲料结构决定，而福建人的饮食结构中海洋性食材与传统鱼露占据中枢位置，呈味氨基酸与核苷酸的长期摄入结构决定其风味底色为「鲜」；其二，</w:t>
      </w:r>
      <w:r>
        <w:rPr>
          <w:rFonts w:ascii="Times New Roman" w:hAnsi="Times New Roman" w:eastAsia="黑体"/>
          <w:b/>
          <w:color w:val="333333"/>
          <w:sz w:val="22"/>
        </w:rPr>
        <w:t>质构谱系命题</w:t>
      </w:r>
      <w:r>
        <w:rPr>
          <w:rFonts w:ascii="Times New Roman" w:hAnsi="Times New Roman" w:eastAsia="宋体"/>
          <w:b w:val="0"/>
          <w:color w:val="333333"/>
          <w:sz w:val="22"/>
        </w:rPr>
        <w:t>——嫩度由肌纤维类型、肌内结缔组织与肌内脂肪三者共同决定，福建民系的山海分异使这一参数沿内陆—沿海轴呈现谱系化梯度，而非单点数值；其三，</w:t>
      </w:r>
      <w:r>
        <w:rPr>
          <w:rFonts w:ascii="Times New Roman" w:hAnsi="Times New Roman" w:eastAsia="黑体"/>
          <w:b/>
          <w:color w:val="333333"/>
          <w:sz w:val="22"/>
        </w:rPr>
        <w:t>多汁性命题</w:t>
      </w:r>
      <w:r>
        <w:rPr>
          <w:rFonts w:ascii="Times New Roman" w:hAnsi="Times New Roman" w:eastAsia="宋体"/>
          <w:b w:val="0"/>
          <w:color w:val="333333"/>
          <w:sz w:val="22"/>
        </w:rPr>
        <w:t>——闽菜「无汤不行」的技法传统与炝、羹、汆、煨诸法构成一套成体系的水系烹饪术，提示其汤感与保水性参数偏高；其四，</w:t>
      </w:r>
      <w:r>
        <w:rPr>
          <w:rFonts w:ascii="Times New Roman" w:hAnsi="Times New Roman" w:eastAsia="黑体"/>
          <w:b/>
          <w:color w:val="333333"/>
          <w:sz w:val="22"/>
        </w:rPr>
        <w:t>后味命题</w:t>
      </w:r>
      <w:r>
        <w:rPr>
          <w:rFonts w:ascii="Times New Roman" w:hAnsi="Times New Roman" w:eastAsia="宋体"/>
          <w:b w:val="0"/>
          <w:color w:val="333333"/>
          <w:sz w:val="22"/>
        </w:rPr>
        <w:t>——茶与甜食构成其风味的时间结构，使整体味觉以「回甘」收尾；其五（</w:t>
      </w:r>
      <w:r>
        <w:rPr>
          <w:rFonts w:ascii="Times New Roman" w:hAnsi="Times New Roman" w:eastAsia="黑体"/>
          <w:b/>
          <w:color w:val="333333"/>
          <w:sz w:val="22"/>
        </w:rPr>
        <w:t>结构命题</w:t>
      </w:r>
      <w:r>
        <w:rPr>
          <w:rFonts w:ascii="Times New Roman" w:hAnsi="Times New Roman" w:eastAsia="宋体"/>
          <w:b w:val="0"/>
          <w:color w:val="333333"/>
          <w:sz w:val="22"/>
        </w:rPr>
        <w:t>），其整体性呈现「佛跳墙结构」——山海同坛、多层同煨、以汤统合。五命题收敛于同一结论：在假设层面，福建人的口感呈「鲜、嫩、汤、甘、合」的复合特征，其感官画像可概括为「一坛山海」。文末讨论该分析的伦理边界与迷因背后的地域认同机制，并附感官评价维度建议表与参考文献。</w:t>
      </w:r>
    </w:p>
    <w:p>
      <w:pPr>
        <w:spacing w:after="80" w:line="336" w:lineRule="auto"/>
        <w:ind w:left="340" w:right="340"/>
      </w:pPr>
      <w:r>
        <w:rPr>
          <w:rFonts w:ascii="Times New Roman" w:hAnsi="Times New Roman" w:eastAsia="黑体"/>
          <w:b/>
          <w:color w:val="333333"/>
          <w:sz w:val="22"/>
        </w:rPr>
        <w:t>关键词</w:t>
      </w:r>
      <w:r>
        <w:rPr>
          <w:rFonts w:ascii="Times New Roman" w:hAnsi="Times New Roman" w:eastAsia="宋体"/>
          <w:b w:val="0"/>
          <w:color w:val="333333"/>
          <w:sz w:val="22"/>
        </w:rPr>
        <w:t>：福建人；口感；感官评价；质构；鱼露；佛跳墙；地域迷因；戏仿</w:t>
      </w:r>
    </w:p>
    <w:p>
      <w:pPr>
        <w:spacing w:after="80" w:line="336" w:lineRule="auto"/>
        <w:ind w:left="340" w:right="340"/>
      </w:pPr>
      <w:r>
        <w:rPr>
          <w:rFonts w:ascii="Times New Roman" w:hAnsi="Times New Roman" w:eastAsia="黑体"/>
          <w:b/>
          <w:color w:val="333333"/>
          <w:sz w:val="22"/>
        </w:rPr>
        <w:t>Abstract</w:t>
      </w:r>
      <w:r>
        <w:rPr>
          <w:rFonts w:ascii="Times New Roman" w:hAnsi="Times New Roman" w:eastAsia="宋体"/>
          <w:b w:val="0"/>
          <w:color w:val="333333"/>
          <w:sz w:val="22"/>
        </w:rPr>
        <w:t>: This paper takes as its object the regional meme "Guangdong people eat Fujian people" (广东人吃福建人), which has circulated on the Chinese internet for over a decade, and, granting as an axiom that a Fujian person may serve as an ingredient receiving standardized sensory evaluation, infers the sensory profile of that "ingredient" from established results in sensory science, meat quality science, and Fujian culinary-culture studies. Five propositions follow: (i) *flavor base* — flavor precursors are shaped by feed structure, and since marine ingredients and traditional fish sauce occupy a central place in Fujian diets, a long-term intake structure of umami amino acids and nucleotides determines an umami-dominant base taste; (ii) *texture phylum* — tenderness is jointly determined by muscle fiber type, intramuscular connective tissue and intramuscular fat, and the mountain–sea divide among Fujian's sub-ethnic groups (民系) turns this parameter into a spectrum along an inland–coastal axis rather than a single value; (iii) *juiciness* — the "no meal without soup" tradition together with techniques such as *qiang*, *geng*, *cuan* and *wei* constitutes a systematic water-based culinary repertoire, suggesting elevated water-holding capacity and "soup mouthfeel"; (iv) *aftertaste* — tea and sweet foods form the temporal structure of flavor, yielding a "returning sweetness" (*huigan*) finish; (v) *structure* — its wholeness exhibits the "Buddha-Jumps-Over-the-Wall structure": mountain and sea in one urn, layered and slow-simmered, unified by broth. All five converge: at the hypothetical level, the mouthfeel of a Fujian person presents the composite profile of "fresh, tender, soupy, sweet-returning, syncretic," best summarized as "one urn of mountains and sea." The paper closes with the ethical boundary of such an analysis and the regional-identity mechanism behind the meme.</w:t>
      </w:r>
    </w:p>
    <w:p>
      <w:pPr>
        <w:spacing w:after="80" w:line="336" w:lineRule="auto"/>
        <w:ind w:left="340" w:right="340"/>
      </w:pPr>
      <w:r>
        <w:rPr>
          <w:rFonts w:ascii="Times New Roman" w:hAnsi="Times New Roman" w:eastAsia="黑体"/>
          <w:b/>
          <w:color w:val="333333"/>
          <w:sz w:val="22"/>
        </w:rPr>
        <w:t>Keywords</w:t>
      </w:r>
      <w:r>
        <w:rPr>
          <w:rFonts w:ascii="Times New Roman" w:hAnsi="Times New Roman" w:eastAsia="宋体"/>
          <w:b w:val="0"/>
          <w:color w:val="333333"/>
          <w:sz w:val="22"/>
        </w:rPr>
        <w:t>: Fujian people; mouthfeel; sensory evaluation; texture; fish sauce; Buddha Jumps Over the Wall; regional meme; parody</w:t>
      </w:r>
    </w:p>
    <w:p>
      <w:pPr>
        <w:pStyle w:val="Heading1"/>
        <w:spacing w:before="280" w:after="160"/>
      </w:pPr>
      <w:r>
        <w:rPr>
          <w:rFonts w:ascii="Times New Roman" w:hAnsi="Times New Roman" w:eastAsia="黑体"/>
          <w:b/>
          <w:color w:val="000000"/>
          <w:sz w:val="32"/>
        </w:rPr>
        <w:t>第一章 导论：从一个地域玩笑到一份感官问卷</w:t>
      </w:r>
    </w:p>
    <w:p>
      <w:pPr>
        <w:pStyle w:val="Heading2"/>
        <w:spacing w:before="200" w:after="100"/>
      </w:pPr>
      <w:r>
        <w:rPr>
          <w:rFonts w:ascii="Times New Roman" w:hAnsi="Times New Roman" w:eastAsia="黑体"/>
          <w:b/>
          <w:color w:val="000000"/>
          <w:sz w:val="27"/>
        </w:rPr>
        <w:t>1.1 对象描述</w:t>
      </w:r>
    </w:p>
    <w:p>
      <w:pPr>
        <w:spacing w:line="360" w:lineRule="auto" w:after="60"/>
        <w:ind w:firstLine="480"/>
      </w:pPr>
      <w:r>
        <w:rPr>
          <w:rFonts w:ascii="Times New Roman" w:hAnsi="Times New Roman" w:eastAsia="宋体"/>
          <w:b w:val="0"/>
          <w:sz w:val="24"/>
        </w:rPr>
        <w:t>「广东人吃福建人」，是中国互联网上流传最久、变体最多的地域玩笑之一。它大致成型于 2014 年前后：彼时，「广东人什么都吃」的网络印象与各地网友的接梗传统正面相遇，有人替广东人的食谱续上一行——福建人；福建网友没有抗议，而是以「瑟瑟发抖」「今天轮到我们市了吗」的方式接住了它。双方的默契使这个玩笑成活：</w:t>
      </w:r>
      <w:r>
        <w:rPr>
          <w:rFonts w:ascii="Times New Roman" w:hAnsi="Times New Roman" w:eastAsia="黑体"/>
          <w:b/>
          <w:sz w:val="24"/>
        </w:rPr>
        <w:t>在被吃的一方参与之下，一场关于「食物链」的想象变成了地域互文游戏</w:t>
      </w:r>
      <w:r>
        <w:rPr>
          <w:rFonts w:ascii="Times New Roman" w:hAnsi="Times New Roman" w:eastAsia="宋体"/>
          <w:b w:val="0"/>
          <w:sz w:val="24"/>
        </w:rPr>
        <w:t>。此后十余年，它不断被增殖：加什么调料、先吃哪个市、闽菜师傅是否要对此负责——各平台反复二创，热度几度沉浮而从未退场。（这个梗目前没有直接对应的学术文献，其文化背景可参见网络迷因与地域刻板印象两支研究，见 1.5 节[25][26][31][33]。）</w:t>
      </w:r>
    </w:p>
    <w:p>
      <w:pPr>
        <w:spacing w:line="360" w:lineRule="auto" w:after="60"/>
        <w:ind w:firstLine="480"/>
      </w:pPr>
      <w:r>
        <w:rPr>
          <w:rFonts w:ascii="Times New Roman" w:hAnsi="Times New Roman" w:eastAsia="宋体"/>
          <w:b w:val="0"/>
          <w:sz w:val="24"/>
        </w:rPr>
        <w:t>本文不研究这个玩笑的传播史，也不讨论它是否构成冒犯——那属于另一类论文。本文接受一个更古怪的假设——</w:t>
      </w:r>
      <w:r>
        <w:rPr>
          <w:rFonts w:ascii="Times New Roman" w:hAnsi="Times New Roman" w:eastAsia="黑体"/>
          <w:b/>
          <w:sz w:val="24"/>
        </w:rPr>
        <w:t>假设福建人可作为食材接受标准化感官评价</w:t>
      </w:r>
      <w:r>
        <w:rPr>
          <w:rFonts w:ascii="Times New Roman" w:hAnsi="Times New Roman" w:eastAsia="宋体"/>
          <w:b w:val="0"/>
          <w:sz w:val="24"/>
        </w:rPr>
        <w:t>——然后回答一个本不应当存在、却越想越有意思的问题：它的口感是什么样的？</w:t>
      </w:r>
    </w:p>
    <w:p>
      <w:pPr>
        <w:pStyle w:val="Heading2"/>
        <w:spacing w:before="200" w:after="100"/>
      </w:pPr>
      <w:r>
        <w:rPr>
          <w:rFonts w:ascii="Times New Roman" w:hAnsi="Times New Roman" w:eastAsia="黑体"/>
          <w:b/>
          <w:color w:val="000000"/>
          <w:sz w:val="27"/>
        </w:rPr>
        <w:t>1.2 问题的提出</w:t>
      </w:r>
    </w:p>
    <w:p>
      <w:pPr>
        <w:spacing w:line="360" w:lineRule="auto" w:after="60"/>
        <w:ind w:firstLine="480"/>
      </w:pPr>
      <w:r>
        <w:rPr>
          <w:rFonts w:ascii="Times New Roman" w:hAnsi="Times New Roman" w:eastAsia="宋体"/>
          <w:b w:val="0"/>
          <w:sz w:val="24"/>
        </w:rPr>
        <w:t>「假设存在」「假设可食」，是本文从数学与戏仿写作中借来的起手式：把对象从「事实问题」移交到「公理系统」。移交一旦完成，重要的就不再是对象是否可被端上桌，而是在给定的分析框架内，它能否被一致地描述出来。</w:t>
      </w:r>
    </w:p>
    <w:p>
      <w:pPr>
        <w:spacing w:line="360" w:lineRule="auto" w:after="60"/>
        <w:ind w:firstLine="480"/>
      </w:pPr>
      <w:r>
        <w:rPr>
          <w:rFonts w:ascii="Times New Roman" w:hAnsi="Times New Roman" w:eastAsia="宋体"/>
          <w:b w:val="0"/>
          <w:sz w:val="24"/>
        </w:rPr>
        <w:t>于是本文的问题可以精确表述为：</w:t>
      </w:r>
    </w:p>
    <w:p>
      <w:pPr>
        <w:spacing w:line="360" w:lineRule="auto" w:after="60"/>
        <w:ind w:firstLine="480"/>
      </w:pPr>
      <w:r>
        <w:rPr>
          <w:rFonts w:ascii="Times New Roman" w:hAnsi="Times New Roman" w:eastAsia="黑体"/>
          <w:b/>
          <w:sz w:val="24"/>
        </w:rPr>
        <w:t>问题 Q</w:t>
      </w:r>
      <w:r>
        <w:rPr>
          <w:rFonts w:ascii="Times New Roman" w:hAnsi="Times New Roman" w:eastAsia="宋体"/>
          <w:b w:val="0"/>
          <w:sz w:val="24"/>
        </w:rPr>
        <w:t>：设福建人 F 可作为食材接受标准化感官评价；设其长期饮食结构与体质特征为其「真性质」。问：F 的口感（质构与风味的复合感知）呈现何种特征？</w:t>
      </w:r>
    </w:p>
    <w:p>
      <w:pPr>
        <w:spacing w:line="360" w:lineRule="auto" w:after="60"/>
        <w:ind w:firstLine="480"/>
      </w:pPr>
      <w:r>
        <w:rPr>
          <w:rFonts w:ascii="Times New Roman" w:hAnsi="Times New Roman" w:eastAsia="黑体"/>
          <w:b/>
          <w:sz w:val="24"/>
        </w:rPr>
        <w:t>预答</w:t>
      </w:r>
      <w:r>
        <w:rPr>
          <w:rFonts w:ascii="Times New Roman" w:hAnsi="Times New Roman" w:eastAsia="宋体"/>
          <w:b w:val="0"/>
          <w:sz w:val="24"/>
        </w:rPr>
        <w:t>：呈「鲜、嫩、汤、甘、合」的复合结构——风味基底为鲜味主导；质构沿山—海轴呈谱系分异；多汁性、后味与整体性，则分别与闽菜的汤传统、茶与甜食传统、以及佛跳墙的构造传统相对应。</w:t>
      </w:r>
    </w:p>
    <w:p>
      <w:pPr>
        <w:pStyle w:val="Heading2"/>
        <w:spacing w:before="200" w:after="100"/>
      </w:pPr>
      <w:r>
        <w:rPr>
          <w:rFonts w:ascii="Times New Roman" w:hAnsi="Times New Roman" w:eastAsia="黑体"/>
          <w:b/>
          <w:color w:val="000000"/>
          <w:sz w:val="27"/>
        </w:rPr>
        <w:t>1.3 两条论证路线</w:t>
      </w:r>
    </w:p>
    <w:p>
      <w:pPr>
        <w:spacing w:line="360" w:lineRule="auto" w:after="60"/>
        <w:ind w:firstLine="480"/>
      </w:pPr>
      <w:r>
        <w:rPr>
          <w:rFonts w:ascii="Times New Roman" w:hAnsi="Times New Roman" w:eastAsia="宋体"/>
          <w:b w:val="0"/>
          <w:sz w:val="24"/>
        </w:rPr>
        <w:t>为回答 Q，本文并联使用两条路线。</w:t>
      </w:r>
    </w:p>
    <w:p>
      <w:pPr>
        <w:spacing w:line="360" w:lineRule="auto" w:after="60"/>
        <w:ind w:firstLine="480"/>
      </w:pPr>
      <w:r>
        <w:rPr>
          <w:rFonts w:ascii="Times New Roman" w:hAnsi="Times New Roman" w:eastAsia="黑体"/>
          <w:b/>
          <w:sz w:val="24"/>
        </w:rPr>
        <w:t>路线一（内部路线，食品科学）</w:t>
      </w:r>
      <w:r>
        <w:rPr>
          <w:rFonts w:ascii="Times New Roman" w:hAnsi="Times New Roman" w:eastAsia="宋体"/>
          <w:b w:val="0"/>
          <w:sz w:val="24"/>
        </w:rPr>
        <w:t>：援引肉品科学中「饲喂—风味」「肌纤维—嫩度」等既有规律，把「福建人的饮食结构」当作「饲料结构」、把「民系差异」当作「品种差异」，推断其风味前体物谱系与质构参数。这条路线提供机理。</w:t>
      </w:r>
    </w:p>
    <w:p>
      <w:pPr>
        <w:spacing w:line="360" w:lineRule="auto" w:after="60"/>
        <w:ind w:firstLine="480"/>
      </w:pPr>
      <w:r>
        <w:rPr>
          <w:rFonts w:ascii="Times New Roman" w:hAnsi="Times New Roman" w:eastAsia="黑体"/>
          <w:b/>
          <w:sz w:val="24"/>
        </w:rPr>
        <w:t>路线二（外部路线，文本考古）</w:t>
      </w:r>
      <w:r>
        <w:rPr>
          <w:rFonts w:ascii="Times New Roman" w:hAnsi="Times New Roman" w:eastAsia="宋体"/>
          <w:b w:val="0"/>
          <w:sz w:val="24"/>
        </w:rPr>
        <w:t>：从闽菜技法文献、民系研究、饮食记述中提取与「口感」相关的证据——一个地区如何描述自己的食物，反过来暴露了它的身体如何理解「好吃」。这条路线提供画像。</w:t>
      </w:r>
    </w:p>
    <w:p>
      <w:pPr>
        <w:spacing w:line="360" w:lineRule="auto" w:after="60"/>
        <w:ind w:firstLine="480"/>
      </w:pPr>
      <w:r>
        <w:rPr>
          <w:rFonts w:ascii="Times New Roman" w:hAnsi="Times New Roman" w:eastAsia="宋体"/>
          <w:b w:val="0"/>
          <w:sz w:val="24"/>
        </w:rPr>
        <w:t>两条路线在第七章汇合：内部路线给出机理上的「为什么」，外部路线给出文化文本上的「像什么」。</w:t>
      </w:r>
    </w:p>
    <w:p>
      <w:pPr>
        <w:pStyle w:val="Heading2"/>
        <w:spacing w:before="200" w:after="100"/>
      </w:pPr>
      <w:r>
        <w:rPr>
          <w:rFonts w:ascii="Times New Roman" w:hAnsi="Times New Roman" w:eastAsia="黑体"/>
          <w:b/>
          <w:color w:val="000000"/>
          <w:sz w:val="27"/>
        </w:rPr>
        <w:t>1.4 方法论声明</w:t>
      </w:r>
    </w:p>
    <w:p>
      <w:pPr>
        <w:spacing w:line="360" w:lineRule="auto" w:after="60"/>
        <w:ind w:firstLine="480"/>
      </w:pPr>
      <w:r>
        <w:rPr>
          <w:rFonts w:ascii="Times New Roman" w:hAnsi="Times New Roman" w:eastAsia="黑体"/>
          <w:b/>
          <w:sz w:val="24"/>
        </w:rPr>
        <w:t>声明一（真实性原则）</w:t>
      </w:r>
      <w:r>
        <w:rPr>
          <w:rFonts w:ascii="Times New Roman" w:hAnsi="Times New Roman" w:eastAsia="宋体"/>
          <w:b w:val="0"/>
          <w:sz w:val="24"/>
        </w:rPr>
        <w:t>：本文引用的每一项食品科学结论、每一则文献均为真实，出处可核查。被「变造」的不是科学，只是科学的应用对象——同样的规律，本文把它读向了它从未想读向的地方。</w:t>
      </w:r>
    </w:p>
    <w:p>
      <w:pPr>
        <w:spacing w:line="360" w:lineRule="auto" w:after="60"/>
        <w:ind w:firstLine="480"/>
      </w:pPr>
      <w:r>
        <w:rPr>
          <w:rFonts w:ascii="Times New Roman" w:hAnsi="Times New Roman" w:eastAsia="黑体"/>
          <w:b/>
          <w:sz w:val="24"/>
        </w:rPr>
        <w:t>声明二（梯度标注）</w:t>
      </w:r>
      <w:r>
        <w:rPr>
          <w:rFonts w:ascii="Times New Roman" w:hAnsi="Times New Roman" w:eastAsia="宋体"/>
          <w:b w:val="0"/>
          <w:sz w:val="24"/>
        </w:rPr>
        <w:t>：本文区分两种使用方式。其一为</w:t>
      </w:r>
      <w:r>
        <w:rPr>
          <w:rFonts w:ascii="Times New Roman" w:hAnsi="Times New Roman" w:eastAsia="黑体"/>
          <w:b/>
          <w:sz w:val="24"/>
        </w:rPr>
        <w:t>严格应用</w:t>
      </w:r>
      <w:r>
        <w:rPr>
          <w:rFonts w:ascii="Times New Roman" w:hAnsi="Times New Roman" w:eastAsia="宋体"/>
          <w:b w:val="0"/>
          <w:sz w:val="24"/>
        </w:rPr>
        <w:t>：对象的属性与科学结论的前提可以逐条对齐（如「长期饮食结构决定风味前体物」之于肉品科学的饲喂研究）；其二为</w:t>
      </w:r>
      <w:r>
        <w:rPr>
          <w:rFonts w:ascii="Times New Roman" w:hAnsi="Times New Roman" w:eastAsia="黑体"/>
          <w:b/>
          <w:sz w:val="24"/>
        </w:rPr>
        <w:t>结构类比</w:t>
      </w:r>
      <w:r>
        <w:rPr>
          <w:rFonts w:ascii="Times New Roman" w:hAnsi="Times New Roman" w:eastAsia="宋体"/>
          <w:b w:val="0"/>
          <w:sz w:val="24"/>
        </w:rPr>
        <w:t>：对象与结论的前提并不同构，但共享同一形式骨架（如把「鲜」从味觉维度迁移到文化性格）。凡类比，均在文中以「结构类比」字样明确标注。</w:t>
      </w:r>
    </w:p>
    <w:p>
      <w:pPr>
        <w:spacing w:line="360" w:lineRule="auto" w:after="60"/>
        <w:ind w:firstLine="480"/>
      </w:pPr>
      <w:r>
        <w:rPr>
          <w:rFonts w:ascii="Times New Roman" w:hAnsi="Times New Roman" w:eastAsia="黑体"/>
          <w:b/>
          <w:sz w:val="24"/>
        </w:rPr>
        <w:t>声明三（不可食用原则）</w:t>
      </w:r>
      <w:r>
        <w:rPr>
          <w:rFonts w:ascii="Times New Roman" w:hAnsi="Times New Roman" w:eastAsia="宋体"/>
          <w:b w:val="0"/>
          <w:sz w:val="24"/>
        </w:rPr>
        <w:t>：本文的对象是人。如此认真地谈论「口感」，恰恰基于一个相反的前设——</w:t>
      </w:r>
      <w:r>
        <w:rPr>
          <w:rFonts w:ascii="Times New Roman" w:hAnsi="Times New Roman" w:eastAsia="黑体"/>
          <w:b/>
          <w:sz w:val="24"/>
        </w:rPr>
        <w:t>人不可以被食用</w:t>
      </w:r>
      <w:r>
        <w:rPr>
          <w:rFonts w:ascii="Times New Roman" w:hAnsi="Times New Roman" w:eastAsia="宋体"/>
          <w:b w:val="0"/>
          <w:sz w:val="24"/>
        </w:rPr>
        <w:t>。这份假设—戏仿之所以能被写下、被阅读、被笑纳，是因为写读双方都清楚它永远不会落地；对这一边界的任何模糊化，本文都明确反对。全文的「鲜美」「多汁」等一切词汇，只在本声明所划定的符号学气泡内有效。</w:t>
      </w:r>
    </w:p>
    <w:p>
      <w:pPr>
        <w:spacing w:line="360" w:lineRule="auto" w:after="60"/>
        <w:ind w:firstLine="480"/>
      </w:pPr>
      <w:r>
        <w:rPr>
          <w:rFonts w:ascii="Times New Roman" w:hAnsi="Times New Roman" w:eastAsia="黑体"/>
          <w:b/>
          <w:sz w:val="24"/>
        </w:rPr>
        <w:t>声明四（出身无关原则）</w:t>
      </w:r>
      <w:r>
        <w:rPr>
          <w:rFonts w:ascii="Times New Roman" w:hAnsi="Times New Roman" w:eastAsia="宋体"/>
          <w:b w:val="0"/>
          <w:sz w:val="24"/>
        </w:rPr>
        <w:t>：玩笑的出身不构成对分析严肃性的豁免，也不构成妨碍。评审这份论文的标准只有一条：每一个推断是否有据。这正与网络迷因研究观察到的规律互为镜像——迷因的「戏谑、抵抗与反思」三重面向本就可以在同一文本里共存[27]。</w:t>
      </w:r>
    </w:p>
    <w:p>
      <w:pPr>
        <w:pStyle w:val="Heading2"/>
        <w:spacing w:before="200" w:after="100"/>
      </w:pPr>
      <w:r>
        <w:rPr>
          <w:rFonts w:ascii="Times New Roman" w:hAnsi="Times New Roman" w:eastAsia="黑体"/>
          <w:b/>
          <w:color w:val="000000"/>
          <w:sz w:val="27"/>
        </w:rPr>
        <w:t>1.5 文献综述：四个传统与本论文的位置</w:t>
      </w:r>
    </w:p>
    <w:p>
      <w:pPr>
        <w:spacing w:line="360" w:lineRule="auto" w:after="60"/>
        <w:ind w:firstLine="480"/>
      </w:pPr>
      <w:r>
        <w:rPr>
          <w:rFonts w:ascii="Times New Roman" w:hAnsi="Times New Roman" w:eastAsia="宋体"/>
          <w:b w:val="0"/>
          <w:sz w:val="24"/>
        </w:rPr>
        <w:t>本节梳理与本文最相关的四支文献，并指出它们共同的沉默。文献检索依托中国知网完成，检索日期为 2026 年 10 月 16 日。</w:t>
      </w:r>
    </w:p>
    <w:p>
      <w:pPr>
        <w:spacing w:line="360" w:lineRule="auto" w:after="60"/>
        <w:ind w:firstLine="480"/>
      </w:pPr>
      <w:r>
        <w:rPr>
          <w:rFonts w:ascii="Times New Roman" w:hAnsi="Times New Roman" w:eastAsia="黑体"/>
          <w:b/>
          <w:sz w:val="24"/>
        </w:rPr>
        <w:t>（一）食品感官评价科学。</w:t>
      </w:r>
      <w:r>
        <w:rPr>
          <w:rFonts w:ascii="Times New Roman" w:hAnsi="Times New Roman" w:eastAsia="宋体"/>
          <w:b w:val="0"/>
          <w:sz w:val="24"/>
        </w:rPr>
        <w:t xml:space="preserve"> 孙江艳等系统梳理了感官评价的技术手段，指出定量描述分析（QDA）与质构剖面分析（TPA）是描述性评价的两大支柱[1]；吴钰涛讨论了感官评价标准化中的现实难点与改进策略[2]；刘倩从口腔加工角度研究了不同质构食物的咀嚼行为与主观评价的对应关系[3]。这一传统为「口感」提供了完整的测量框架——但其测量对象历来是面包、肉品与果蔬，</w:t>
      </w:r>
      <w:r>
        <w:rPr>
          <w:rFonts w:ascii="Times New Roman" w:hAnsi="Times New Roman" w:eastAsia="黑体"/>
          <w:b/>
          <w:sz w:val="24"/>
        </w:rPr>
        <w:t>从未指向人</w:t>
      </w:r>
      <w:r>
        <w:rPr>
          <w:rFonts w:ascii="Times New Roman" w:hAnsi="Times New Roman" w:eastAsia="宋体"/>
          <w:b w:val="0"/>
          <w:sz w:val="24"/>
        </w:rPr>
        <w:t>。</w:t>
      </w:r>
    </w:p>
    <w:p>
      <w:pPr>
        <w:spacing w:line="360" w:lineRule="auto" w:after="60"/>
        <w:ind w:firstLine="480"/>
      </w:pPr>
      <w:r>
        <w:rPr>
          <w:rFonts w:ascii="Times New Roman" w:hAnsi="Times New Roman" w:eastAsia="黑体"/>
          <w:b/>
          <w:sz w:val="24"/>
        </w:rPr>
        <w:t>（二）肉品品质科学。</w:t>
      </w:r>
      <w:r>
        <w:rPr>
          <w:rFonts w:ascii="Times New Roman" w:hAnsi="Times New Roman" w:eastAsia="宋体"/>
          <w:b w:val="0"/>
          <w:sz w:val="24"/>
        </w:rPr>
        <w:t xml:space="preserve"> 嫩度一支：汪洋、王稳航梳理了肌内结缔组织与嫩度的关联机制[4]；张丽等讨论了肌纤维类型与嫩度的关系[5]；苗海明等考察了肌内脂肪沉积对嫩度的影响[6]；李红梅、张勇做了影响因素的系统综述[7]。风味一支：杜鹏飞等研究了炖煮条件对挥发性风味物质与质构的影响[8]；徐兰梦等揭示了肌内脂肪影响风味品质的多维机制[9]；赵钰洁考察了脂质及其氧化因子在特征风味形成中的作用[10]；郝蕊等则跟踪了成熟时间对熟制风味的影响[11]。这一传统提供了「嫩度—风味」的完整因果链——</w:t>
      </w:r>
      <w:r>
        <w:rPr>
          <w:rFonts w:ascii="Times New Roman" w:hAnsi="Times New Roman" w:eastAsia="黑体"/>
          <w:b/>
          <w:sz w:val="24"/>
        </w:rPr>
        <w:t>而链条的另一端，从未接上过人</w:t>
      </w:r>
      <w:r>
        <w:rPr>
          <w:rFonts w:ascii="Times New Roman" w:hAnsi="Times New Roman" w:eastAsia="宋体"/>
          <w:b w:val="0"/>
          <w:sz w:val="24"/>
        </w:rPr>
        <w:t>。</w:t>
      </w:r>
    </w:p>
    <w:p>
      <w:pPr>
        <w:spacing w:line="360" w:lineRule="auto" w:after="60"/>
        <w:ind w:firstLine="480"/>
      </w:pPr>
      <w:r>
        <w:rPr>
          <w:rFonts w:ascii="Times New Roman" w:hAnsi="Times New Roman" w:eastAsia="黑体"/>
          <w:b/>
          <w:sz w:val="24"/>
        </w:rPr>
        <w:t>（三）福建饮食文化与民系研究。</w:t>
      </w:r>
      <w:r>
        <w:rPr>
          <w:rFonts w:ascii="Times New Roman" w:hAnsi="Times New Roman" w:eastAsia="宋体"/>
          <w:b w:val="0"/>
          <w:sz w:val="24"/>
        </w:rPr>
        <w:t xml:space="preserve"> 饮食一支：林诗钧、图力古日对福建传统鱼露做了系统的文化研究[12]；林慧彬考述了莆仙地区的「炝」食[13]；成健勾连了福建菜与文人传统[14]；袁红飞等梳理了闽菜的工业化进展[15]；杨炯、王云概括闽菜为「无汤不行」[16]；吴先辉的《闽菜的研究》做了体系化整理[17]；《福建的饮食文化》提供了概览[18]；王育洁、黄晓星考论了《御膳本草》所见琉球王国对闽菜文化的吸收[19]；匡济考辨了佛跳墙的来历[20]。民系一支：谢重光考察了福建客家的形成[21]；宁威讨论了闽南文化的河洛渊源[22]；吴青宝等研究了福建民系的区际过渡[23]；陈莹考察了沿海石厝民居的审美文化[24]。这一传统把福建描述为一个「山海—多民系」的复合体——</w:t>
      </w:r>
      <w:r>
        <w:rPr>
          <w:rFonts w:ascii="Times New Roman" w:hAnsi="Times New Roman" w:eastAsia="黑体"/>
          <w:b/>
          <w:sz w:val="24"/>
        </w:rPr>
        <w:t>对这一复合体的感官后果，它没有兴趣</w:t>
      </w:r>
      <w:r>
        <w:rPr>
          <w:rFonts w:ascii="Times New Roman" w:hAnsi="Times New Roman" w:eastAsia="宋体"/>
          <w:b w:val="0"/>
          <w:sz w:val="24"/>
        </w:rPr>
        <w:t>。</w:t>
      </w:r>
    </w:p>
    <w:p>
      <w:pPr>
        <w:spacing w:line="360" w:lineRule="auto" w:after="60"/>
        <w:ind w:firstLine="480"/>
      </w:pPr>
      <w:r>
        <w:rPr>
          <w:rFonts w:ascii="Times New Roman" w:hAnsi="Times New Roman" w:eastAsia="黑体"/>
          <w:b/>
          <w:sz w:val="24"/>
        </w:rPr>
        <w:t>（四）网络迷因与地域刻板印象研究。</w:t>
      </w:r>
      <w:r>
        <w:rPr>
          <w:rFonts w:ascii="Times New Roman" w:hAnsi="Times New Roman" w:eastAsia="宋体"/>
          <w:b w:val="0"/>
          <w:sz w:val="24"/>
        </w:rPr>
        <w:t xml:space="preserve"> 迷因一支：王璐瑶考察了迷因传播机制及双重社会功能[25]；田超群梳理了迷因符号的功能衍变[26]；陈爱梅等揭示了「X 学」迷因的符号互动与身份建构机制[27]；杜佳歆以「city 不 city」为例研究了迷因传播[28]；胡辞典考察了青年群体的网络戏仿行为[29]；张梦然则分析了「乳法」这一国别自嘲迷因的民族主义表达[30]。地域印象一支：熊伟等验证并测量了「饮食地域刻板印象」的存在[31]；李军等研究了「东北女性」题材短视频中的地域形象[32]；宋梦元从污名视角探究了地域刻板印象的形成因素[33]。这一传统关心的是：刻板印象如何形成、如何被使用、是否伤人——</w:t>
      </w:r>
      <w:r>
        <w:rPr>
          <w:rFonts w:ascii="Times New Roman" w:hAnsi="Times New Roman" w:eastAsia="黑体"/>
          <w:b/>
          <w:sz w:val="24"/>
        </w:rPr>
        <w:t>它从不关心刻板印象里的那个「食物」，尝起来是什么味道</w:t>
      </w:r>
      <w:r>
        <w:rPr>
          <w:rFonts w:ascii="Times New Roman" w:hAnsi="Times New Roman" w:eastAsia="宋体"/>
          <w:b w:val="0"/>
          <w:sz w:val="24"/>
        </w:rPr>
        <w:t>。</w:t>
      </w:r>
    </w:p>
    <w:p>
      <w:pPr>
        <w:spacing w:line="360" w:lineRule="auto" w:after="60"/>
        <w:ind w:firstLine="480"/>
      </w:pPr>
      <w:r>
        <w:rPr>
          <w:rFonts w:ascii="Times New Roman" w:hAnsi="Times New Roman" w:eastAsia="黑体"/>
          <w:b/>
          <w:sz w:val="24"/>
        </w:rPr>
        <w:t>本文的位置</w:t>
      </w:r>
      <w:r>
        <w:rPr>
          <w:rFonts w:ascii="Times New Roman" w:hAnsi="Times New Roman" w:eastAsia="宋体"/>
          <w:b w:val="0"/>
          <w:sz w:val="24"/>
        </w:rPr>
        <w:t>：四支传统各自完备，却在同一处共同沉默。本文对这一沉默做出（戏仿性）补位——把迷因研究里的「宾语」，交给感官科学来做一次完整的虚拟测量。</w:t>
      </w:r>
    </w:p>
    <w:p>
      <w:pPr>
        <w:pStyle w:val="Heading2"/>
        <w:spacing w:before="200" w:after="100"/>
      </w:pPr>
      <w:r>
        <w:rPr>
          <w:rFonts w:ascii="Times New Roman" w:hAnsi="Times New Roman" w:eastAsia="黑体"/>
          <w:b/>
          <w:color w:val="000000"/>
          <w:sz w:val="27"/>
        </w:rPr>
        <w:t>1.6 本文不讨论的问题</w:t>
      </w:r>
    </w:p>
    <w:p>
      <w:pPr>
        <w:spacing w:line="360" w:lineRule="auto" w:after="60"/>
        <w:ind w:firstLine="480"/>
      </w:pPr>
      <w:r>
        <w:rPr>
          <w:rFonts w:ascii="Times New Roman" w:hAnsi="Times New Roman" w:eastAsia="宋体"/>
          <w:b w:val="0"/>
          <w:sz w:val="24"/>
        </w:rPr>
        <w:t>一是现实中任何形式的食用行为——本文已在伦理层面将其排除（1.4 声明三）；二是这个迷因的传播统计与平台数据——那属于传播学；三是「广东人」一侧的对偶形象——在语法上，广东人是这个句子的主语，福建人是宾语，</w:t>
      </w:r>
      <w:r>
        <w:rPr>
          <w:rFonts w:ascii="Times New Roman" w:hAnsi="Times New Roman" w:eastAsia="黑体"/>
          <w:b/>
          <w:sz w:val="24"/>
        </w:rPr>
        <w:t>本文只研究宾语</w:t>
      </w:r>
      <w:r>
        <w:rPr>
          <w:rFonts w:ascii="Times New Roman" w:hAnsi="Times New Roman" w:eastAsia="宋体"/>
          <w:b w:val="0"/>
          <w:sz w:val="24"/>
        </w:rPr>
        <w:t>。划出这三条界线，是为了让后文每一句推演都能被独立检验。</w:t>
      </w:r>
    </w:p>
    <w:p>
      <w:pPr>
        <w:pStyle w:val="Heading1"/>
        <w:spacing w:before="280" w:after="160"/>
      </w:pPr>
      <w:r>
        <w:rPr>
          <w:rFonts w:ascii="Times New Roman" w:hAnsi="Times New Roman" w:eastAsia="黑体"/>
          <w:b/>
          <w:color w:val="000000"/>
          <w:sz w:val="32"/>
        </w:rPr>
        <w:t>第二章 鲜：风味基底的饲料结构假说</w:t>
      </w:r>
    </w:p>
    <w:p>
      <w:pPr>
        <w:pStyle w:val="Heading2"/>
        <w:spacing w:before="200" w:after="100"/>
      </w:pPr>
      <w:r>
        <w:rPr>
          <w:rFonts w:ascii="Times New Roman" w:hAnsi="Times New Roman" w:eastAsia="黑体"/>
          <w:b/>
          <w:color w:val="000000"/>
          <w:sz w:val="27"/>
        </w:rPr>
        <w:t>2.1 风味从何而来：两条通路</w:t>
      </w:r>
    </w:p>
    <w:p>
      <w:pPr>
        <w:spacing w:line="360" w:lineRule="auto" w:after="60"/>
        <w:ind w:firstLine="480"/>
      </w:pPr>
      <w:r>
        <w:rPr>
          <w:rFonts w:ascii="Times New Roman" w:hAnsi="Times New Roman" w:eastAsia="宋体"/>
          <w:b w:val="0"/>
          <w:sz w:val="24"/>
        </w:rPr>
        <w:t>肉品风味的生成，一般被归结为两条通路。其一是</w:t>
      </w:r>
      <w:r>
        <w:rPr>
          <w:rFonts w:ascii="Times New Roman" w:hAnsi="Times New Roman" w:eastAsia="黑体"/>
          <w:b/>
          <w:sz w:val="24"/>
        </w:rPr>
        <w:t>脂质通路</w:t>
      </w:r>
      <w:r>
        <w:rPr>
          <w:rFonts w:ascii="Times New Roman" w:hAnsi="Times New Roman" w:eastAsia="宋体"/>
          <w:b w:val="0"/>
          <w:sz w:val="24"/>
        </w:rPr>
        <w:t>：肌肉内脂质在加热与贮藏中发生氧化与降解，产生醛、酮、醇等挥发性化合物，构成特征香气的主体（赵钰洁[10]）；其二是</w:t>
      </w:r>
      <w:r>
        <w:rPr>
          <w:rFonts w:ascii="Times New Roman" w:hAnsi="Times New Roman" w:eastAsia="黑体"/>
          <w:b/>
          <w:sz w:val="24"/>
        </w:rPr>
        <w:t>美拉德通路</w:t>
      </w:r>
      <w:r>
        <w:rPr>
          <w:rFonts w:ascii="Times New Roman" w:hAnsi="Times New Roman" w:eastAsia="宋体"/>
          <w:b w:val="0"/>
          <w:sz w:val="24"/>
        </w:rPr>
        <w:t>：还原糖与氨基酸在加热中发生美拉德反应及 Strecker 降解，生成吡嗪、呋喃等风味物质，与脂质产物共同编织最终风味（杜鹏飞等[8]）。肌内脂肪在这一图景中被反复确认为「双重角色」：它既是风味的储存库（脂溶性风味前体物的溶剂），又是风味的反应炉（徐兰梦等[9]；苗海明等[6]）。成熟与热处理进一步调制这一过程：湿法成熟会改变游离氨基酸与核苷酸的含量与比例（郝蕊等[11]），不同压力炖煮则系统性地改变挥发性风味物质的种类与分布（杜鹏飞等[8]）。</w:t>
      </w:r>
    </w:p>
    <w:p>
      <w:pPr>
        <w:spacing w:line="360" w:lineRule="auto" w:after="60"/>
        <w:ind w:firstLine="480"/>
      </w:pPr>
      <w:r>
        <w:rPr>
          <w:rFonts w:ascii="Times New Roman" w:hAnsi="Times New Roman" w:eastAsia="宋体"/>
          <w:b w:val="0"/>
          <w:sz w:val="24"/>
        </w:rPr>
        <w:t>这套机理的意义在于：</w:t>
      </w:r>
      <w:r>
        <w:rPr>
          <w:rFonts w:ascii="Times New Roman" w:hAnsi="Times New Roman" w:eastAsia="黑体"/>
          <w:b/>
          <w:sz w:val="24"/>
        </w:rPr>
        <w:t>风味不是被「加点什么」调出来的，而是被「长期吃什么」写进去的。</w:t>
      </w:r>
    </w:p>
    <w:p>
      <w:pPr>
        <w:pStyle w:val="Heading2"/>
        <w:spacing w:before="200" w:after="100"/>
      </w:pPr>
      <w:r>
        <w:rPr>
          <w:rFonts w:ascii="Times New Roman" w:hAnsi="Times New Roman" w:eastAsia="黑体"/>
          <w:b/>
          <w:color w:val="000000"/>
          <w:sz w:val="27"/>
        </w:rPr>
        <w:t>2.2 从饲料到风味：一条可迁移的规律</w:t>
      </w:r>
    </w:p>
    <w:p>
      <w:pPr>
        <w:spacing w:line="360" w:lineRule="auto" w:after="60"/>
        <w:ind w:firstLine="480"/>
      </w:pPr>
      <w:r>
        <w:rPr>
          <w:rFonts w:ascii="Times New Roman" w:hAnsi="Times New Roman" w:eastAsia="宋体"/>
          <w:b w:val="0"/>
          <w:sz w:val="24"/>
        </w:rPr>
        <w:t>肉品科学中有一条被反复验证的规律：动物长期摄入的饲粮结构，会经由脂肪酸组成与风味前体物的沉积，写入其肌肉的最终风味。在猪、牛、禽的饲养体系中，「饲喂—风味」是被系统研究的因果链；肌内脂肪与脂肪酸组成被视为这一链条的中介变量（徐兰梦等[9]）。换言之，</w:t>
      </w:r>
      <w:r>
        <w:rPr>
          <w:rFonts w:ascii="Times New Roman" w:hAnsi="Times New Roman" w:eastAsia="黑体"/>
          <w:b/>
          <w:sz w:val="24"/>
        </w:rPr>
        <w:t>尝一只动物，最终尝到的是它的食谱</w:t>
      </w:r>
      <w:r>
        <w:rPr>
          <w:rFonts w:ascii="Times New Roman" w:hAnsi="Times New Roman" w:eastAsia="宋体"/>
          <w:b w:val="0"/>
          <w:sz w:val="24"/>
        </w:rPr>
        <w:t>。</w:t>
      </w:r>
    </w:p>
    <w:p>
      <w:pPr>
        <w:spacing w:line="360" w:lineRule="auto" w:after="60"/>
        <w:ind w:firstLine="480"/>
      </w:pPr>
      <w:r>
        <w:rPr>
          <w:rFonts w:ascii="Times New Roman" w:hAnsi="Times New Roman" w:eastAsia="黑体"/>
          <w:b/>
          <w:sz w:val="24"/>
        </w:rPr>
        <w:t>结构类比（标注）</w:t>
      </w:r>
      <w:r>
        <w:rPr>
          <w:rFonts w:ascii="Times New Roman" w:hAnsi="Times New Roman" w:eastAsia="宋体"/>
          <w:b w:val="0"/>
          <w:sz w:val="24"/>
        </w:rPr>
        <w:t>：本文把「人的日常饮食结构」类比为「饲粮结构」。这一迁移的形式骨架是：*长期摄入 → 组织沉积 → 风味输出*。其中，「沉积机制」在生物化学层面对人同样成立（严格成立）；而「摄入统计」本文不做定量，只做类型学刻画。凡下文出现具体风味推断处，均属此标注下的迁移。</w:t>
      </w:r>
    </w:p>
    <w:p>
      <w:pPr>
        <w:pStyle w:val="Heading2"/>
        <w:spacing w:before="200" w:after="100"/>
      </w:pPr>
      <w:r>
        <w:rPr>
          <w:rFonts w:ascii="Times New Roman" w:hAnsi="Times New Roman" w:eastAsia="黑体"/>
          <w:b/>
          <w:color w:val="000000"/>
          <w:sz w:val="27"/>
        </w:rPr>
        <w:t>2.3 福建人的「饲料结构」：山海之间的呈味图谱</w:t>
      </w:r>
    </w:p>
    <w:p>
      <w:pPr>
        <w:spacing w:line="360" w:lineRule="auto" w:after="60"/>
        <w:ind w:firstLine="480"/>
      </w:pPr>
      <w:r>
        <w:rPr>
          <w:rFonts w:ascii="Times New Roman" w:hAnsi="Times New Roman" w:eastAsia="宋体"/>
          <w:b w:val="0"/>
          <w:sz w:val="24"/>
        </w:rPr>
        <w:t>沿这一框架，考察福建人长期饮食结构的呈味特征，可得三条主线。</w:t>
      </w:r>
    </w:p>
    <w:p>
      <w:pPr>
        <w:spacing w:line="360" w:lineRule="auto" w:after="60"/>
        <w:ind w:firstLine="480"/>
      </w:pPr>
      <w:r>
        <w:rPr>
          <w:rFonts w:ascii="Times New Roman" w:hAnsi="Times New Roman" w:eastAsia="黑体"/>
          <w:b/>
          <w:sz w:val="24"/>
        </w:rPr>
        <w:t>海之鲜。</w:t>
      </w:r>
      <w:r>
        <w:rPr>
          <w:rFonts w:ascii="Times New Roman" w:hAnsi="Times New Roman" w:eastAsia="宋体"/>
          <w:b w:val="0"/>
          <w:sz w:val="24"/>
        </w:rPr>
        <w:t xml:space="preserve"> 福建传统鱼露是沿海家庭使用了数百年的核心发酵调味品，林诗钧、图力古日的研究指出，其呈味本体是蛋白质长期发酵分解产生的氨基酸与核苷酸类物质[12]——用更直白的话说，</w:t>
      </w:r>
      <w:r>
        <w:rPr>
          <w:rFonts w:ascii="Times New Roman" w:hAnsi="Times New Roman" w:eastAsia="黑体"/>
          <w:b/>
          <w:sz w:val="24"/>
        </w:rPr>
        <w:t>福建沿海的厨房，是一场持续数百年、从未停火的蛋白质水解实验</w:t>
      </w:r>
      <w:r>
        <w:rPr>
          <w:rFonts w:ascii="Times New Roman" w:hAnsi="Times New Roman" w:eastAsia="宋体"/>
          <w:b w:val="0"/>
          <w:sz w:val="24"/>
        </w:rPr>
        <w:t>。以鱼露、虾油为代表的海味调味体系，连同日常高频的海产摄入，构成鲜味前体物（谷氨酸、天冬氨酸及肌苷酸类物质）的高密度输入结构。</w:t>
      </w:r>
    </w:p>
    <w:p>
      <w:pPr>
        <w:spacing w:line="360" w:lineRule="auto" w:after="60"/>
        <w:ind w:firstLine="480"/>
      </w:pPr>
      <w:r>
        <w:rPr>
          <w:rFonts w:ascii="Times New Roman" w:hAnsi="Times New Roman" w:eastAsia="黑体"/>
          <w:b/>
          <w:sz w:val="24"/>
        </w:rPr>
        <w:t>山之清。</w:t>
      </w:r>
      <w:r>
        <w:rPr>
          <w:rFonts w:ascii="Times New Roman" w:hAnsi="Times New Roman" w:eastAsia="宋体"/>
          <w:b w:val="0"/>
          <w:sz w:val="24"/>
        </w:rPr>
        <w:t xml:space="preserve"> 山地民系的饮食以山珍、笋、菌菇与腌渍菜蔬为特色，《福建的饮食文化》对山区饮食有相应概览[18]；清鲜的底味与海侧形成对照。一碗福州线面与一碗闽西客家酿豆腐，写的是两套不同的「前体物账本」。</w:t>
      </w:r>
    </w:p>
    <w:p>
      <w:pPr>
        <w:spacing w:line="360" w:lineRule="auto" w:after="60"/>
        <w:ind w:firstLine="480"/>
      </w:pPr>
      <w:r>
        <w:rPr>
          <w:rFonts w:ascii="Times New Roman" w:hAnsi="Times New Roman" w:eastAsia="黑体"/>
          <w:b/>
          <w:sz w:val="24"/>
        </w:rPr>
        <w:t>味之复合。</w:t>
      </w:r>
      <w:r>
        <w:rPr>
          <w:rFonts w:ascii="Times New Roman" w:hAnsi="Times New Roman" w:eastAsia="宋体"/>
          <w:b w:val="0"/>
          <w:sz w:val="24"/>
        </w:rPr>
        <w:t xml:space="preserve"> 「无汤不行」的技法传统（见第四章[16]）意味着大量呈味物质以汤为介质被反复摄取；茶（第五章）与甜食（第五章）则提供额外的多酚与糖类输入。整个结构可以概括为：</w:t>
      </w:r>
      <w:r>
        <w:rPr>
          <w:rFonts w:ascii="Times New Roman" w:hAnsi="Times New Roman" w:eastAsia="黑体"/>
          <w:b/>
          <w:sz w:val="24"/>
        </w:rPr>
        <w:t>以鲜为主轴、以清与甘为两翼的高信息密度食谱</w:t>
      </w:r>
      <w:r>
        <w:rPr>
          <w:rFonts w:ascii="Times New Roman" w:hAnsi="Times New Roman" w:eastAsia="宋体"/>
          <w:b w:val="0"/>
          <w:sz w:val="24"/>
        </w:rPr>
        <w:t>。</w:t>
      </w:r>
    </w:p>
    <w:p>
      <w:pPr>
        <w:pStyle w:val="Heading2"/>
        <w:spacing w:before="200" w:after="100"/>
      </w:pPr>
      <w:r>
        <w:rPr>
          <w:rFonts w:ascii="Times New Roman" w:hAnsi="Times New Roman" w:eastAsia="黑体"/>
          <w:b/>
          <w:color w:val="000000"/>
          <w:sz w:val="27"/>
        </w:rPr>
        <w:t>2.4 命题 I（底味命题）</w:t>
      </w:r>
    </w:p>
    <w:p>
      <w:pPr>
        <w:spacing w:line="360" w:lineRule="auto" w:after="60"/>
        <w:ind w:firstLine="480"/>
      </w:pPr>
      <w:r>
        <w:rPr>
          <w:rFonts w:ascii="Times New Roman" w:hAnsi="Times New Roman" w:eastAsia="黑体"/>
          <w:b/>
          <w:sz w:val="24"/>
        </w:rPr>
        <w:t>命题 2.1（底味命题）</w:t>
      </w:r>
      <w:r>
        <w:rPr>
          <w:rFonts w:ascii="Times New Roman" w:hAnsi="Times New Roman" w:eastAsia="宋体"/>
          <w:b w:val="0"/>
          <w:sz w:val="24"/>
        </w:rPr>
        <w:t>：在假设层面，福建人的风味基底为鲜味主导的复合氨基酸—核苷酸谱；其清鲜侧偏山，浓鲜侧偏海，二者以汤统合。</w:t>
      </w:r>
    </w:p>
    <w:p>
      <w:pPr>
        <w:spacing w:line="360" w:lineRule="auto" w:after="60"/>
        <w:ind w:firstLine="480"/>
      </w:pPr>
      <w:r>
        <w:rPr>
          <w:rFonts w:ascii="Times New Roman" w:hAnsi="Times New Roman" w:eastAsia="黑体"/>
          <w:b/>
          <w:sz w:val="24"/>
        </w:rPr>
        <w:t>论证</w:t>
      </w:r>
      <w:r>
        <w:rPr>
          <w:rFonts w:ascii="Times New Roman" w:hAnsi="Times New Roman" w:eastAsia="宋体"/>
          <w:b w:val="0"/>
          <w:sz w:val="24"/>
        </w:rPr>
        <w:t>：风味基底由长期饮食结构中的呈味前体物沉积决定（2.2，严格应用）；福建饮食结构中鱼露、海产与汤品构成鲜味前体物的高摄入结构（2.3，文献支撑）；故其风味底色为「鲜」（推论）。</w:t>
      </w:r>
    </w:p>
    <w:p>
      <w:pPr>
        <w:spacing w:line="360" w:lineRule="auto" w:after="60"/>
        <w:ind w:firstLine="480"/>
      </w:pPr>
      <w:r>
        <w:rPr>
          <w:rFonts w:ascii="Times New Roman" w:hAnsi="Times New Roman" w:eastAsia="黑体"/>
          <w:b/>
          <w:sz w:val="24"/>
        </w:rPr>
        <w:t>讨论</w:t>
      </w:r>
      <w:r>
        <w:rPr>
          <w:rFonts w:ascii="Times New Roman" w:hAnsi="Times New Roman" w:eastAsia="宋体"/>
          <w:b w:val="0"/>
          <w:sz w:val="24"/>
        </w:rPr>
        <w:t>：一个旁证是，闽菜研究中「鲜」出现之频繁——无论是鱼露研究的「发酵之鲜」[12]、汤菜传统的「汤之鲜」[16]，还是闽菜体系的整体概括[17]——仿佛福建的文献在描述自己的菜时，反复在同一格琴键上落指。一个地区如何描述它的食物，往往就是它如何想象自己的身体：</w:t>
      </w:r>
      <w:r>
        <w:rPr>
          <w:rFonts w:ascii="Times New Roman" w:hAnsi="Times New Roman" w:eastAsia="黑体"/>
          <w:b/>
          <w:sz w:val="24"/>
        </w:rPr>
        <w:t>它以鲜自我叙述，故在假设的评价表上，它以鲜开席。</w:t>
      </w:r>
    </w:p>
    <w:p>
      <w:pPr>
        <w:pStyle w:val="Heading1"/>
        <w:spacing w:before="280" w:after="160"/>
      </w:pPr>
      <w:r>
        <w:rPr>
          <w:rFonts w:ascii="Times New Roman" w:hAnsi="Times New Roman" w:eastAsia="黑体"/>
          <w:b/>
          <w:color w:val="000000"/>
          <w:sz w:val="32"/>
        </w:rPr>
        <w:t>第三章 嫩：质构谱系的民系分异</w:t>
      </w:r>
    </w:p>
    <w:p>
      <w:pPr>
        <w:pStyle w:val="Heading2"/>
        <w:spacing w:before="200" w:after="100"/>
      </w:pPr>
      <w:r>
        <w:rPr>
          <w:rFonts w:ascii="Times New Roman" w:hAnsi="Times New Roman" w:eastAsia="黑体"/>
          <w:b/>
          <w:color w:val="000000"/>
          <w:sz w:val="27"/>
        </w:rPr>
        <w:t>3.1 嫩度的三要素</w:t>
      </w:r>
    </w:p>
    <w:p>
      <w:pPr>
        <w:spacing w:line="360" w:lineRule="auto" w:after="60"/>
        <w:ind w:firstLine="480"/>
      </w:pPr>
      <w:r>
        <w:rPr>
          <w:rFonts w:ascii="Times New Roman" w:hAnsi="Times New Roman" w:eastAsia="宋体"/>
          <w:b w:val="0"/>
          <w:sz w:val="24"/>
        </w:rPr>
        <w:t>质构评价中，「嫩」不是一种物质，而是一组力学事件的综合体验。在肉品科学里，它至少由三个变量共同决定。</w:t>
      </w:r>
    </w:p>
    <w:p>
      <w:pPr>
        <w:spacing w:line="360" w:lineRule="auto" w:after="60"/>
        <w:ind w:firstLine="480"/>
      </w:pPr>
      <w:r>
        <w:rPr>
          <w:rFonts w:ascii="Times New Roman" w:hAnsi="Times New Roman" w:eastAsia="黑体"/>
          <w:b/>
          <w:sz w:val="24"/>
        </w:rPr>
        <w:t>一是肌纤维类型。</w:t>
      </w:r>
      <w:r>
        <w:rPr>
          <w:rFonts w:ascii="Times New Roman" w:hAnsi="Times New Roman" w:eastAsia="宋体"/>
          <w:b w:val="0"/>
          <w:sz w:val="24"/>
        </w:rPr>
        <w:t xml:space="preserve"> 肌纤维依代谢方式分为慢肌（Ⅰ型，氧化型）与快肌（Ⅱ型，糖酵解型）等类型，不同类型在直径、色泽、收缩特性上各异，进而影响咀嚼时的剪切阻力（张丽等[5]）。</w:t>
      </w:r>
    </w:p>
    <w:p>
      <w:pPr>
        <w:spacing w:line="360" w:lineRule="auto" w:after="60"/>
        <w:ind w:firstLine="480"/>
      </w:pPr>
      <w:r>
        <w:rPr>
          <w:rFonts w:ascii="Times New Roman" w:hAnsi="Times New Roman" w:eastAsia="黑体"/>
          <w:b/>
          <w:sz w:val="24"/>
        </w:rPr>
        <w:t>二是结缔组织。</w:t>
      </w:r>
      <w:r>
        <w:rPr>
          <w:rFonts w:ascii="Times New Roman" w:hAnsi="Times New Roman" w:eastAsia="宋体"/>
          <w:b w:val="0"/>
          <w:sz w:val="24"/>
        </w:rPr>
        <w:t xml:space="preserve"> 肌内结缔组织（以胶原蛋白为骨架）的交联程度，直接决定剪切力——「老」的感觉，很大程度上是胶原交联的力学回响；相应的嫩化技术，本质上都是对交联的物理或酶学干预（汪洋、王稳航[4]）。</w:t>
      </w:r>
    </w:p>
    <w:p>
      <w:pPr>
        <w:spacing w:line="360" w:lineRule="auto" w:after="60"/>
        <w:ind w:firstLine="480"/>
      </w:pPr>
      <w:r>
        <w:rPr>
          <w:rFonts w:ascii="Times New Roman" w:hAnsi="Times New Roman" w:eastAsia="黑体"/>
          <w:b/>
          <w:sz w:val="24"/>
        </w:rPr>
        <w:t>三是肌内脂肪。</w:t>
      </w:r>
      <w:r>
        <w:rPr>
          <w:rFonts w:ascii="Times New Roman" w:hAnsi="Times New Roman" w:eastAsia="宋体"/>
          <w:b w:val="0"/>
          <w:sz w:val="24"/>
        </w:rPr>
        <w:t xml:space="preserve"> 脂肪以大理石纹的形式嵌入肌纤维束之间，既是口感的润滑相，也是风味的储存库；其沉积量与嫩度、多汁性同步变化（苗海明等[6]）。三者及其他因素的综合作用，构成「嫩度」这一复合参数的完整解释空间（李红梅、张勇[7]）。</w:t>
      </w:r>
    </w:p>
    <w:p>
      <w:pPr>
        <w:pStyle w:val="Heading2"/>
        <w:spacing w:before="200" w:after="100"/>
      </w:pPr>
      <w:r>
        <w:rPr>
          <w:rFonts w:ascii="Times New Roman" w:hAnsi="Times New Roman" w:eastAsia="黑体"/>
          <w:b/>
          <w:color w:val="000000"/>
          <w:sz w:val="27"/>
        </w:rPr>
        <w:t>3.2 福建的「品系」：五个民系与一条山海轴</w:t>
      </w:r>
    </w:p>
    <w:p>
      <w:pPr>
        <w:spacing w:line="360" w:lineRule="auto" w:after="60"/>
        <w:ind w:firstLine="480"/>
      </w:pPr>
      <w:r>
        <w:rPr>
          <w:rFonts w:ascii="Times New Roman" w:hAnsi="Times New Roman" w:eastAsia="宋体"/>
          <w:b w:val="0"/>
          <w:sz w:val="24"/>
        </w:rPr>
        <w:t>福建素以民系多元著称。沿海的闽东（福州一带）与闽南（厦漳泉一带），东南的莆仙，内陆的闽北与闽西（客家），各成体系。相关研究提供了清晰的谱系：谢重光考证了客家在山地开发中「汉越蛮交融」的形成史[21]；宁威追溯了闽南文化的河洛渊源[22]；吴青宝等则从聚落形态出发，刻画了闽北与闽中民系之间的区际过渡[23]；陈莹考察了沿海石厝民居的审美文化[24]。</w:t>
      </w:r>
    </w:p>
    <w:p>
      <w:pPr>
        <w:spacing w:line="360" w:lineRule="auto" w:after="60"/>
        <w:ind w:firstLine="480"/>
      </w:pPr>
      <w:r>
        <w:rPr>
          <w:rFonts w:ascii="Times New Roman" w:hAnsi="Times New Roman" w:eastAsia="黑体"/>
          <w:b/>
          <w:sz w:val="24"/>
        </w:rPr>
        <w:t>结构类比（标注）</w:t>
      </w:r>
      <w:r>
        <w:rPr>
          <w:rFonts w:ascii="Times New Roman" w:hAnsi="Times New Roman" w:eastAsia="宋体"/>
          <w:b w:val="0"/>
          <w:sz w:val="24"/>
        </w:rPr>
        <w:t>：本文把「民系」类比为「品种」。畜产科学中，品种—嫩度差异是被系统研究的常识；民系—嫩度差异无人能够实测，本文因此只画谱系、不填数值。</w:t>
      </w:r>
    </w:p>
    <w:p>
      <w:pPr>
        <w:spacing w:line="360" w:lineRule="auto" w:after="60"/>
        <w:ind w:firstLine="480"/>
      </w:pPr>
      <w:r>
        <w:rPr>
          <w:rFonts w:ascii="Times New Roman" w:hAnsi="Times New Roman" w:eastAsia="宋体"/>
          <w:b w:val="0"/>
          <w:sz w:val="24"/>
        </w:rPr>
        <w:t>沿这条山海轴，活动模式的分野清晰可辨：沿海民系历史上倚海而生，渔业劳作多拉伸性、持续性的用力模式；山地民系倚山而作，山路的负重与耕作以间歇性高强度为特征。若把「活动强度—肌纤维特征」「体脂沉积—环境温度」的一般规律迁移过来，可作如下类型学草图：</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tblGrid>
      <w:tr>
        <w:tc>
          <w:tcPr>
            <w:tcW w:type="dxa" w:w="1662"/>
          </w:tcPr>
          <w:p>
            <w:pPr>
              <w:spacing w:line="300" w:lineRule="auto" w:before="40" w:after="40"/>
            </w:pPr>
            <w:r>
              <w:rPr>
                <w:rFonts w:ascii="Times New Roman" w:hAnsi="Times New Roman" w:eastAsia="宋体"/>
                <w:b/>
                <w:sz w:val="21"/>
              </w:rPr>
              <w:t>假设品系</w:t>
            </w:r>
          </w:p>
        </w:tc>
        <w:tc>
          <w:tcPr>
            <w:tcW w:type="dxa" w:w="1662"/>
          </w:tcPr>
          <w:p>
            <w:pPr>
              <w:spacing w:line="300" w:lineRule="auto" w:before="40" w:after="40"/>
            </w:pPr>
            <w:r>
              <w:rPr>
                <w:rFonts w:ascii="Times New Roman" w:hAnsi="Times New Roman" w:eastAsia="宋体"/>
                <w:b/>
                <w:sz w:val="21"/>
              </w:rPr>
              <w:t>地理侧</w:t>
            </w:r>
          </w:p>
        </w:tc>
        <w:tc>
          <w:tcPr>
            <w:tcW w:type="dxa" w:w="1662"/>
          </w:tcPr>
          <w:p>
            <w:pPr>
              <w:spacing w:line="300" w:lineRule="auto" w:before="40" w:after="40"/>
            </w:pPr>
            <w:r>
              <w:rPr>
                <w:rFonts w:ascii="Times New Roman" w:hAnsi="Times New Roman" w:eastAsia="宋体"/>
                <w:b/>
                <w:sz w:val="21"/>
              </w:rPr>
              <w:t>活动模式</w:t>
            </w:r>
          </w:p>
        </w:tc>
        <w:tc>
          <w:tcPr>
            <w:tcW w:type="dxa" w:w="1662"/>
          </w:tcPr>
          <w:p>
            <w:pPr>
              <w:spacing w:line="300" w:lineRule="auto" w:before="40" w:after="40"/>
            </w:pPr>
            <w:r>
              <w:rPr>
                <w:rFonts w:ascii="Times New Roman" w:hAnsi="Times New Roman" w:eastAsia="宋体"/>
                <w:b/>
                <w:sz w:val="21"/>
              </w:rPr>
              <w:t>体脂假设</w:t>
            </w:r>
          </w:p>
        </w:tc>
        <w:tc>
          <w:tcPr>
            <w:tcW w:type="dxa" w:w="1662"/>
          </w:tcPr>
          <w:p>
            <w:pPr>
              <w:spacing w:line="300" w:lineRule="auto" w:before="40" w:after="40"/>
            </w:pPr>
            <w:r>
              <w:rPr>
                <w:rFonts w:ascii="Times New Roman" w:hAnsi="Times New Roman" w:eastAsia="宋体"/>
                <w:b/>
                <w:sz w:val="21"/>
              </w:rPr>
              <w:t>嫩度谱系假设</w:t>
            </w:r>
          </w:p>
        </w:tc>
      </w:tr>
      <w:tr>
        <w:tc>
          <w:tcPr>
            <w:tcW w:type="dxa" w:w="1662"/>
          </w:tcPr>
          <w:p>
            <w:pPr>
              <w:spacing w:line="300" w:lineRule="auto" w:before="40" w:after="40"/>
            </w:pPr>
            <w:r>
              <w:rPr>
                <w:rFonts w:ascii="Times New Roman" w:hAnsi="Times New Roman" w:eastAsia="宋体"/>
                <w:b w:val="0"/>
                <w:sz w:val="21"/>
              </w:rPr>
              <w:t>沿海系（闽东/闽南/莆仙）</w:t>
            </w:r>
          </w:p>
        </w:tc>
        <w:tc>
          <w:tcPr>
            <w:tcW w:type="dxa" w:w="1662"/>
          </w:tcPr>
          <w:p>
            <w:pPr>
              <w:spacing w:line="300" w:lineRule="auto" w:before="40" w:after="40"/>
            </w:pPr>
            <w:r>
              <w:rPr>
                <w:rFonts w:ascii="Times New Roman" w:hAnsi="Times New Roman" w:eastAsia="宋体"/>
                <w:b w:val="0"/>
                <w:sz w:val="21"/>
              </w:rPr>
              <w:t>海</w:t>
            </w:r>
          </w:p>
        </w:tc>
        <w:tc>
          <w:tcPr>
            <w:tcW w:type="dxa" w:w="1662"/>
          </w:tcPr>
          <w:p>
            <w:pPr>
              <w:spacing w:line="300" w:lineRule="auto" w:before="40" w:after="40"/>
            </w:pPr>
            <w:r>
              <w:rPr>
                <w:rFonts w:ascii="Times New Roman" w:hAnsi="Times New Roman" w:eastAsia="宋体"/>
                <w:b w:val="0"/>
                <w:sz w:val="21"/>
              </w:rPr>
              <w:t>持续拉伸型</w:t>
            </w:r>
          </w:p>
        </w:tc>
        <w:tc>
          <w:tcPr>
            <w:tcW w:type="dxa" w:w="1662"/>
          </w:tcPr>
          <w:p>
            <w:pPr>
              <w:spacing w:line="300" w:lineRule="auto" w:before="40" w:after="40"/>
            </w:pPr>
            <w:r>
              <w:rPr>
                <w:rFonts w:ascii="Times New Roman" w:hAnsi="Times New Roman" w:eastAsia="宋体"/>
                <w:b w:val="0"/>
                <w:sz w:val="21"/>
              </w:rPr>
              <w:t>适中</w:t>
            </w:r>
          </w:p>
        </w:tc>
        <w:tc>
          <w:tcPr>
            <w:tcW w:type="dxa" w:w="1662"/>
          </w:tcPr>
          <w:p>
            <w:pPr>
              <w:spacing w:line="300" w:lineRule="auto" w:before="40" w:after="40"/>
            </w:pPr>
            <w:r>
              <w:rPr>
                <w:rFonts w:ascii="Times New Roman" w:hAnsi="Times New Roman" w:eastAsia="宋体"/>
                <w:b w:val="0"/>
                <w:sz w:val="21"/>
              </w:rPr>
              <w:t>弹性区间偏「弹」</w:t>
            </w:r>
          </w:p>
        </w:tc>
      </w:tr>
      <w:tr>
        <w:tc>
          <w:tcPr>
            <w:tcW w:type="dxa" w:w="1662"/>
          </w:tcPr>
          <w:p>
            <w:pPr>
              <w:spacing w:line="300" w:lineRule="auto" w:before="40" w:after="40"/>
            </w:pPr>
            <w:r>
              <w:rPr>
                <w:rFonts w:ascii="Times New Roman" w:hAnsi="Times New Roman" w:eastAsia="宋体"/>
                <w:b w:val="0"/>
                <w:sz w:val="21"/>
              </w:rPr>
              <w:t>内陆系（闽北）</w:t>
            </w:r>
          </w:p>
        </w:tc>
        <w:tc>
          <w:tcPr>
            <w:tcW w:type="dxa" w:w="1662"/>
          </w:tcPr>
          <w:p>
            <w:pPr>
              <w:spacing w:line="300" w:lineRule="auto" w:before="40" w:after="40"/>
            </w:pPr>
            <w:r>
              <w:rPr>
                <w:rFonts w:ascii="Times New Roman" w:hAnsi="Times New Roman" w:eastAsia="宋体"/>
                <w:b w:val="0"/>
                <w:sz w:val="21"/>
              </w:rPr>
              <w:t>山</w:t>
            </w:r>
          </w:p>
        </w:tc>
        <w:tc>
          <w:tcPr>
            <w:tcW w:type="dxa" w:w="1662"/>
          </w:tcPr>
          <w:p>
            <w:pPr>
              <w:spacing w:line="300" w:lineRule="auto" w:before="40" w:after="40"/>
            </w:pPr>
            <w:r>
              <w:rPr>
                <w:rFonts w:ascii="Times New Roman" w:hAnsi="Times New Roman" w:eastAsia="宋体"/>
                <w:b w:val="0"/>
                <w:sz w:val="21"/>
              </w:rPr>
              <w:t>间歇负重型</w:t>
            </w:r>
          </w:p>
        </w:tc>
        <w:tc>
          <w:tcPr>
            <w:tcW w:type="dxa" w:w="1662"/>
          </w:tcPr>
          <w:p>
            <w:pPr>
              <w:spacing w:line="300" w:lineRule="auto" w:before="40" w:after="40"/>
            </w:pPr>
            <w:r>
              <w:rPr>
                <w:rFonts w:ascii="Times New Roman" w:hAnsi="Times New Roman" w:eastAsia="宋体"/>
                <w:b w:val="0"/>
                <w:sz w:val="21"/>
              </w:rPr>
              <w:t>偏低</w:t>
            </w:r>
          </w:p>
        </w:tc>
        <w:tc>
          <w:tcPr>
            <w:tcW w:type="dxa" w:w="1662"/>
          </w:tcPr>
          <w:p>
            <w:pPr>
              <w:spacing w:line="300" w:lineRule="auto" w:before="40" w:after="40"/>
            </w:pPr>
            <w:r>
              <w:rPr>
                <w:rFonts w:ascii="Times New Roman" w:hAnsi="Times New Roman" w:eastAsia="宋体"/>
                <w:b w:val="0"/>
                <w:sz w:val="21"/>
              </w:rPr>
              <w:t>偏「韧」而耐嚼</w:t>
            </w:r>
          </w:p>
        </w:tc>
      </w:tr>
      <w:tr>
        <w:tc>
          <w:tcPr>
            <w:tcW w:type="dxa" w:w="1662"/>
          </w:tcPr>
          <w:p>
            <w:pPr>
              <w:spacing w:line="300" w:lineRule="auto" w:before="40" w:after="40"/>
            </w:pPr>
            <w:r>
              <w:rPr>
                <w:rFonts w:ascii="Times New Roman" w:hAnsi="Times New Roman" w:eastAsia="宋体"/>
                <w:b w:val="0"/>
                <w:sz w:val="21"/>
              </w:rPr>
              <w:t>客家系（闽西）</w:t>
            </w:r>
          </w:p>
        </w:tc>
        <w:tc>
          <w:tcPr>
            <w:tcW w:type="dxa" w:w="1662"/>
          </w:tcPr>
          <w:p>
            <w:pPr>
              <w:spacing w:line="300" w:lineRule="auto" w:before="40" w:after="40"/>
            </w:pPr>
            <w:r>
              <w:rPr>
                <w:rFonts w:ascii="Times New Roman" w:hAnsi="Times New Roman" w:eastAsia="宋体"/>
                <w:b w:val="0"/>
                <w:sz w:val="21"/>
              </w:rPr>
              <w:t>山</w:t>
            </w:r>
          </w:p>
        </w:tc>
        <w:tc>
          <w:tcPr>
            <w:tcW w:type="dxa" w:w="1662"/>
          </w:tcPr>
          <w:p>
            <w:pPr>
              <w:spacing w:line="300" w:lineRule="auto" w:before="40" w:after="40"/>
            </w:pPr>
            <w:r>
              <w:rPr>
                <w:rFonts w:ascii="Times New Roman" w:hAnsi="Times New Roman" w:eastAsia="宋体"/>
                <w:b w:val="0"/>
                <w:sz w:val="21"/>
              </w:rPr>
              <w:t>长程负重型</w:t>
            </w:r>
          </w:p>
        </w:tc>
        <w:tc>
          <w:tcPr>
            <w:tcW w:type="dxa" w:w="1662"/>
          </w:tcPr>
          <w:p>
            <w:pPr>
              <w:spacing w:line="300" w:lineRule="auto" w:before="40" w:after="40"/>
            </w:pPr>
            <w:r>
              <w:rPr>
                <w:rFonts w:ascii="Times New Roman" w:hAnsi="Times New Roman" w:eastAsia="宋体"/>
                <w:b w:val="0"/>
                <w:sz w:val="21"/>
              </w:rPr>
              <w:t>低</w:t>
            </w:r>
          </w:p>
        </w:tc>
        <w:tc>
          <w:tcPr>
            <w:tcW w:type="dxa" w:w="1662"/>
          </w:tcPr>
          <w:p>
            <w:pPr>
              <w:spacing w:line="300" w:lineRule="auto" w:before="40" w:after="40"/>
            </w:pPr>
            <w:r>
              <w:rPr>
                <w:rFonts w:ascii="Times New Roman" w:hAnsi="Times New Roman" w:eastAsia="宋体"/>
                <w:b w:val="0"/>
                <w:sz w:val="21"/>
              </w:rPr>
              <w:t>谱系「韧」端，回甘系风味补偿</w:t>
            </w:r>
          </w:p>
        </w:tc>
      </w:tr>
    </w:tbl>
    <w:p>
      <w:pPr>
        <w:spacing w:after="80"/>
      </w:pPr>
    </w:p>
    <w:p>
      <w:pPr>
        <w:spacing w:line="360" w:lineRule="auto" w:after="60"/>
        <w:ind w:firstLine="480"/>
      </w:pPr>
      <w:r>
        <w:rPr>
          <w:rFonts w:ascii="Times New Roman" w:hAnsi="Times New Roman" w:eastAsia="宋体"/>
          <w:b w:val="0"/>
          <w:sz w:val="24"/>
        </w:rPr>
        <w:t>（表一：民系质构谱系的类型学草图。所有数值假设未经实测，仅供假设层讨论。）</w:t>
      </w:r>
    </w:p>
    <w:p>
      <w:pPr>
        <w:spacing w:line="360" w:lineRule="auto" w:after="60"/>
        <w:ind w:firstLine="480"/>
      </w:pPr>
      <w:r>
        <w:rPr>
          <w:rFonts w:ascii="Times New Roman" w:hAnsi="Times New Roman" w:eastAsia="宋体"/>
          <w:b w:val="0"/>
          <w:sz w:val="24"/>
        </w:rPr>
        <w:t>这张表当然不是数据——它是一张</w:t>
      </w:r>
      <w:r>
        <w:rPr>
          <w:rFonts w:ascii="Times New Roman" w:hAnsi="Times New Roman" w:eastAsia="黑体"/>
          <w:b/>
          <w:sz w:val="24"/>
        </w:rPr>
        <w:t>提问方式的地图</w:t>
      </w:r>
      <w:r>
        <w:rPr>
          <w:rFonts w:ascii="Times New Roman" w:hAnsi="Times New Roman" w:eastAsia="宋体"/>
          <w:b w:val="0"/>
          <w:sz w:val="24"/>
        </w:rPr>
        <w:t>：它告诉未来的（不可能有的）实验，应当沿哪条轴采样。</w:t>
      </w:r>
    </w:p>
    <w:p>
      <w:pPr>
        <w:pStyle w:val="Heading2"/>
        <w:spacing w:before="200" w:after="100"/>
      </w:pPr>
      <w:r>
        <w:rPr>
          <w:rFonts w:ascii="Times New Roman" w:hAnsi="Times New Roman" w:eastAsia="黑体"/>
          <w:b/>
          <w:color w:val="000000"/>
          <w:sz w:val="27"/>
        </w:rPr>
        <w:t>3.3 命题 II（质构谱系命题）</w:t>
      </w:r>
    </w:p>
    <w:p>
      <w:pPr>
        <w:spacing w:line="360" w:lineRule="auto" w:after="60"/>
        <w:ind w:firstLine="480"/>
      </w:pPr>
      <w:r>
        <w:rPr>
          <w:rFonts w:ascii="Times New Roman" w:hAnsi="Times New Roman" w:eastAsia="黑体"/>
          <w:b/>
          <w:sz w:val="24"/>
        </w:rPr>
        <w:t>命题 3.1（质构谱系命题）</w:t>
      </w:r>
      <w:r>
        <w:rPr>
          <w:rFonts w:ascii="Times New Roman" w:hAnsi="Times New Roman" w:eastAsia="宋体"/>
          <w:b w:val="0"/>
          <w:sz w:val="24"/>
        </w:rPr>
        <w:t>：其嫩度不是单点数值，而是一段谱系；沿山—海轴，假设呈现「韧—弹」的参数过渡，其分布形态由民系的地理史决定。</w:t>
      </w:r>
    </w:p>
    <w:p>
      <w:pPr>
        <w:spacing w:line="360" w:lineRule="auto" w:after="60"/>
        <w:ind w:firstLine="480"/>
      </w:pPr>
      <w:r>
        <w:rPr>
          <w:rFonts w:ascii="Times New Roman" w:hAnsi="Times New Roman" w:eastAsia="黑体"/>
          <w:b/>
          <w:sz w:val="24"/>
        </w:rPr>
        <w:t>论证</w:t>
      </w:r>
      <w:r>
        <w:rPr>
          <w:rFonts w:ascii="Times New Roman" w:hAnsi="Times New Roman" w:eastAsia="宋体"/>
          <w:b w:val="0"/>
          <w:sz w:val="24"/>
        </w:rPr>
        <w:t>：嫩度由肌纤维、结缔组织与肌内脂肪三要素共同决定（3.1，严格应用）；三要素均与长期活动模式和环境相关；福建民系沿山—海轴分布，活动模式随轴渐变（3.2，民系研究支撑）；故其质构参数随轴呈谱系分布（推论）。</w:t>
      </w:r>
    </w:p>
    <w:p>
      <w:pPr>
        <w:spacing w:line="360" w:lineRule="auto" w:after="60"/>
        <w:ind w:firstLine="480"/>
      </w:pPr>
      <w:r>
        <w:rPr>
          <w:rFonts w:ascii="Times New Roman" w:hAnsi="Times New Roman" w:eastAsia="黑体"/>
          <w:b/>
          <w:sz w:val="24"/>
        </w:rPr>
        <w:t>讨论</w:t>
      </w:r>
      <w:r>
        <w:rPr>
          <w:rFonts w:ascii="Times New Roman" w:hAnsi="Times New Roman" w:eastAsia="宋体"/>
          <w:b w:val="0"/>
          <w:sz w:val="24"/>
        </w:rPr>
        <w:t>：把一个群体理解为「一段谱系」而非「一个数值」，是本文与地域刻板印象之间最本质的差别——刻板印象要的是单点结论（「福建人如何如何」），而谱系思维给出的是一张分布图。</w:t>
      </w:r>
      <w:r>
        <w:rPr>
          <w:rFonts w:ascii="Times New Roman" w:hAnsi="Times New Roman" w:eastAsia="黑体"/>
          <w:b/>
          <w:sz w:val="24"/>
        </w:rPr>
        <w:t>地域研究最珍贵的贡献，也许恰恰是教会我们放弃说「这些人就是这样」。</w:t>
      </w:r>
    </w:p>
    <w:p>
      <w:pPr>
        <w:pStyle w:val="Heading1"/>
        <w:spacing w:before="280" w:after="160"/>
      </w:pPr>
      <w:r>
        <w:rPr>
          <w:rFonts w:ascii="Times New Roman" w:hAnsi="Times New Roman" w:eastAsia="黑体"/>
          <w:b/>
          <w:color w:val="000000"/>
          <w:sz w:val="32"/>
        </w:rPr>
        <w:t>第四章 汤：多汁性作为存在方式</w:t>
      </w:r>
    </w:p>
    <w:p>
      <w:pPr>
        <w:pStyle w:val="Heading2"/>
        <w:spacing w:before="200" w:after="100"/>
      </w:pPr>
      <w:r>
        <w:rPr>
          <w:rFonts w:ascii="Times New Roman" w:hAnsi="Times New Roman" w:eastAsia="黑体"/>
          <w:b/>
          <w:color w:val="000000"/>
          <w:sz w:val="27"/>
        </w:rPr>
        <w:t>4.1 「无汤不行」：一种底质性的传统</w:t>
      </w:r>
    </w:p>
    <w:p>
      <w:pPr>
        <w:spacing w:line="360" w:lineRule="auto" w:after="60"/>
        <w:ind w:firstLine="480"/>
      </w:pPr>
      <w:r>
        <w:rPr>
          <w:rFonts w:ascii="Times New Roman" w:hAnsi="Times New Roman" w:eastAsia="宋体"/>
          <w:b w:val="0"/>
          <w:sz w:val="24"/>
        </w:rPr>
        <w:t>对闽菜诸多概括中，流传最广的一句是「无汤不行」——杨炯、王云的概括简洁得近乎宣判[16]。这句话的准确含义是：汤在闽菜中不是一道菜、一类菜，而是一种</w:t>
      </w:r>
      <w:r>
        <w:rPr>
          <w:rFonts w:ascii="Times New Roman" w:hAnsi="Times New Roman" w:eastAsia="黑体"/>
          <w:b/>
          <w:sz w:val="24"/>
        </w:rPr>
        <w:t>底质</w:t>
      </w:r>
      <w:r>
        <w:rPr>
          <w:rFonts w:ascii="Times New Roman" w:hAnsi="Times New Roman" w:eastAsia="宋体"/>
          <w:b w:val="0"/>
          <w:sz w:val="24"/>
        </w:rPr>
        <w:t>——多数菜品以同一套高汤语法制备，汤是它们的共同介质。吴先辉在《闽菜的研究》中，亦把汤的工艺置于闽菜技艺体系的核心位置[17]。</w:t>
      </w:r>
    </w:p>
    <w:p>
      <w:pPr>
        <w:spacing w:line="360" w:lineRule="auto" w:after="60"/>
        <w:ind w:firstLine="480"/>
      </w:pPr>
      <w:r>
        <w:rPr>
          <w:rFonts w:ascii="Times New Roman" w:hAnsi="Times New Roman" w:eastAsia="宋体"/>
          <w:b w:val="0"/>
          <w:sz w:val="24"/>
        </w:rPr>
        <w:t>换到感官科学的语言：一个把「汤」当作默认底质的饮食体系，意味着它的全部食材长期在「多汁性」的语法中被处理、被品尝、被理解。</w:t>
      </w:r>
    </w:p>
    <w:p>
      <w:pPr>
        <w:pStyle w:val="Heading2"/>
        <w:spacing w:before="200" w:after="100"/>
      </w:pPr>
      <w:r>
        <w:rPr>
          <w:rFonts w:ascii="Times New Roman" w:hAnsi="Times New Roman" w:eastAsia="黑体"/>
          <w:b/>
          <w:color w:val="000000"/>
          <w:sz w:val="27"/>
        </w:rPr>
        <w:t>4.2 水系技法谱：从毫秒到小时</w:t>
      </w:r>
    </w:p>
    <w:p>
      <w:pPr>
        <w:spacing w:line="360" w:lineRule="auto" w:after="60"/>
        <w:ind w:firstLine="480"/>
      </w:pPr>
      <w:r>
        <w:rPr>
          <w:rFonts w:ascii="Times New Roman" w:hAnsi="Times New Roman" w:eastAsia="宋体"/>
          <w:b w:val="0"/>
          <w:sz w:val="24"/>
        </w:rPr>
        <w:t>如果把闽菜水系技法按时间尺度排列，会得到一条相当完整的谱系：</w:t>
      </w:r>
    </w:p>
    <w:p>
      <w:pPr>
        <w:spacing w:line="360" w:lineRule="auto" w:after="60"/>
        <w:ind w:firstLine="480"/>
      </w:pPr>
      <w:r>
        <w:rPr>
          <w:rFonts w:ascii="Times New Roman" w:hAnsi="Times New Roman" w:eastAsia="黑体"/>
          <w:b/>
          <w:sz w:val="24"/>
        </w:rPr>
        <w:t>炝</w:t>
      </w:r>
      <w:r>
        <w:rPr>
          <w:rFonts w:ascii="Times New Roman" w:hAnsi="Times New Roman" w:eastAsia="宋体"/>
          <w:b w:val="0"/>
          <w:sz w:val="24"/>
        </w:rPr>
        <w:t>——林慧彬考述的莆仙「炝」食，以滚汤激熟食材，讲究汤与火候的瞬时相遇，尺度在毫秒至秒之间[13]；</w:t>
      </w:r>
      <w:r>
        <w:rPr>
          <w:rFonts w:ascii="Times New Roman" w:hAnsi="Times New Roman" w:eastAsia="黑体"/>
          <w:b/>
          <w:sz w:val="24"/>
        </w:rPr>
        <w:t>汆</w:t>
      </w:r>
      <w:r>
        <w:rPr>
          <w:rFonts w:ascii="Times New Roman" w:hAnsi="Times New Roman" w:eastAsia="宋体"/>
          <w:b w:val="0"/>
          <w:sz w:val="24"/>
        </w:rPr>
        <w:t>——沸水速熟，尺度在秒级；</w:t>
      </w:r>
      <w:r>
        <w:rPr>
          <w:rFonts w:ascii="Times New Roman" w:hAnsi="Times New Roman" w:eastAsia="黑体"/>
          <w:b/>
          <w:sz w:val="24"/>
        </w:rPr>
        <w:t>羹</w:t>
      </w:r>
      <w:r>
        <w:rPr>
          <w:rFonts w:ascii="Times New Roman" w:hAnsi="Times New Roman" w:eastAsia="宋体"/>
          <w:b w:val="0"/>
          <w:sz w:val="24"/>
        </w:rPr>
        <w:t>——以芡汁悬浮呈味物质，尺度在分钟级；</w:t>
      </w:r>
      <w:r>
        <w:rPr>
          <w:rFonts w:ascii="Times New Roman" w:hAnsi="Times New Roman" w:eastAsia="黑体"/>
          <w:b/>
          <w:sz w:val="24"/>
        </w:rPr>
        <w:t>煨</w:t>
      </w:r>
      <w:r>
        <w:rPr>
          <w:rFonts w:ascii="Times New Roman" w:hAnsi="Times New Roman" w:eastAsia="宋体"/>
          <w:b w:val="0"/>
          <w:sz w:val="24"/>
        </w:rPr>
        <w:t>——慢火长炖，尺度在小时级；而佛跳墙式的「坛煨」，则以坛为封闭系统，把时间尺度拉长到以半天计（第六章[20]）。</w:t>
      </w:r>
    </w:p>
    <w:p>
      <w:pPr>
        <w:spacing w:line="360" w:lineRule="auto" w:after="60"/>
        <w:ind w:firstLine="480"/>
      </w:pPr>
      <w:r>
        <w:rPr>
          <w:rFonts w:ascii="Times New Roman" w:hAnsi="Times New Roman" w:eastAsia="宋体"/>
          <w:b w:val="0"/>
          <w:sz w:val="24"/>
        </w:rPr>
        <w:t>从毫秒到半天，每一格时间尺度上都有一件本土技法与之对应。这提示的不是某一道菜的偏好，而是</w:t>
      </w:r>
      <w:r>
        <w:rPr>
          <w:rFonts w:ascii="Times New Roman" w:hAnsi="Times New Roman" w:eastAsia="黑体"/>
          <w:b/>
          <w:sz w:val="24"/>
        </w:rPr>
        <w:t>一整套与水共谋的厨房方法论</w:t>
      </w:r>
      <w:r>
        <w:rPr>
          <w:rFonts w:ascii="Times New Roman" w:hAnsi="Times New Roman" w:eastAsia="宋体"/>
          <w:b w:val="0"/>
          <w:sz w:val="24"/>
        </w:rPr>
        <w:t>：这个地区处理食材的默认答案，是「加水，然后精确地控制与它相处的时间」。</w:t>
      </w:r>
    </w:p>
    <w:p>
      <w:pPr>
        <w:pStyle w:val="Heading2"/>
        <w:spacing w:before="200" w:after="100"/>
      </w:pPr>
      <w:r>
        <w:rPr>
          <w:rFonts w:ascii="Times New Roman" w:hAnsi="Times New Roman" w:eastAsia="黑体"/>
          <w:b/>
          <w:color w:val="000000"/>
          <w:sz w:val="27"/>
        </w:rPr>
        <w:t>4.3 从技法事实到参数假设</w:t>
      </w:r>
    </w:p>
    <w:p>
      <w:pPr>
        <w:spacing w:line="360" w:lineRule="auto" w:after="60"/>
        <w:ind w:firstLine="480"/>
      </w:pPr>
      <w:r>
        <w:rPr>
          <w:rFonts w:ascii="Times New Roman" w:hAnsi="Times New Roman" w:eastAsia="宋体"/>
          <w:b w:val="0"/>
          <w:sz w:val="24"/>
        </w:rPr>
        <w:t>肉品科学中，「多汁性」与保水性（water-holding capacity）密切相关，后者受蛋白结构、pH、热处理史与脂肪含量共同影响[7][8]。</w:t>
      </w:r>
    </w:p>
    <w:p>
      <w:pPr>
        <w:spacing w:line="360" w:lineRule="auto" w:after="60"/>
        <w:ind w:firstLine="480"/>
      </w:pPr>
      <w:r>
        <w:rPr>
          <w:rFonts w:ascii="Times New Roman" w:hAnsi="Times New Roman" w:eastAsia="黑体"/>
          <w:b/>
          <w:sz w:val="24"/>
        </w:rPr>
        <w:t>结构类比（标注）</w:t>
      </w:r>
      <w:r>
        <w:rPr>
          <w:rFonts w:ascii="Times New Roman" w:hAnsi="Times New Roman" w:eastAsia="宋体"/>
          <w:b w:val="0"/>
          <w:sz w:val="24"/>
        </w:rPr>
        <w:t>：由「该地区处理食材偏爱水系技法」到「该地区的身体具有较高汤感」，严格意义上没有因果链——人并不被自己烹饪。这一迁移的成立之处，在于一种「感官民族志」读法：</w:t>
      </w:r>
      <w:r>
        <w:rPr>
          <w:rFonts w:ascii="Times New Roman" w:hAnsi="Times New Roman" w:eastAsia="黑体"/>
          <w:b/>
          <w:sz w:val="24"/>
        </w:rPr>
        <w:t>一个群体对「多汁」的长期偏好，是其身体经验的投影</w:t>
      </w:r>
      <w:r>
        <w:rPr>
          <w:rFonts w:ascii="Times New Roman" w:hAnsi="Times New Roman" w:eastAsia="宋体"/>
          <w:b w:val="0"/>
          <w:sz w:val="24"/>
        </w:rPr>
        <w:t>；厨房是身体的自我描述的一种形式。至于该描述是否与体质相关，本文不主张、也无从检验。</w:t>
      </w:r>
    </w:p>
    <w:p>
      <w:pPr>
        <w:pStyle w:val="Heading2"/>
        <w:spacing w:before="200" w:after="100"/>
      </w:pPr>
      <w:r>
        <w:rPr>
          <w:rFonts w:ascii="Times New Roman" w:hAnsi="Times New Roman" w:eastAsia="黑体"/>
          <w:b/>
          <w:color w:val="000000"/>
          <w:sz w:val="27"/>
        </w:rPr>
        <w:t>4.4 命题 III（多汁性命题）</w:t>
      </w:r>
    </w:p>
    <w:p>
      <w:pPr>
        <w:spacing w:line="360" w:lineRule="auto" w:after="60"/>
        <w:ind w:firstLine="480"/>
      </w:pPr>
      <w:r>
        <w:rPr>
          <w:rFonts w:ascii="Times New Roman" w:hAnsi="Times New Roman" w:eastAsia="黑体"/>
          <w:b/>
          <w:sz w:val="24"/>
        </w:rPr>
        <w:t>命题 4.1（多汁性命题）</w:t>
      </w:r>
      <w:r>
        <w:rPr>
          <w:rFonts w:ascii="Times New Roman" w:hAnsi="Times New Roman" w:eastAsia="宋体"/>
          <w:b w:val="0"/>
          <w:sz w:val="24"/>
        </w:rPr>
        <w:t>：在假设层面，其口感呈「汤之为体」而非「干之为体」——汤感与保水性参数偏高，风味物质以水相介质呈递为主。</w:t>
      </w:r>
    </w:p>
    <w:p>
      <w:pPr>
        <w:spacing w:line="360" w:lineRule="auto" w:after="60"/>
        <w:ind w:firstLine="480"/>
      </w:pPr>
      <w:r>
        <w:rPr>
          <w:rFonts w:ascii="Times New Roman" w:hAnsi="Times New Roman" w:eastAsia="黑体"/>
          <w:b/>
          <w:sz w:val="24"/>
        </w:rPr>
        <w:t>论证</w:t>
      </w:r>
      <w:r>
        <w:rPr>
          <w:rFonts w:ascii="Times New Roman" w:hAnsi="Times New Roman" w:eastAsia="宋体"/>
          <w:b w:val="0"/>
          <w:sz w:val="24"/>
        </w:rPr>
        <w:t>：以汤为底质的饮食体系意味着长期的「多汁性」感官训练与偏好（4.1—4.2，文献支撑）；多汁性偏好与保水性参数在感官—体质间存在弱关联假设（4.3，结构类比）；故假设其参数偏高（推论，强度：中）。</w:t>
      </w:r>
    </w:p>
    <w:p>
      <w:pPr>
        <w:spacing w:line="360" w:lineRule="auto" w:after="60"/>
        <w:ind w:firstLine="480"/>
      </w:pPr>
      <w:r>
        <w:rPr>
          <w:rFonts w:ascii="Times New Roman" w:hAnsi="Times New Roman" w:eastAsia="黑体"/>
          <w:b/>
          <w:sz w:val="24"/>
        </w:rPr>
        <w:t>讨论</w:t>
      </w:r>
      <w:r>
        <w:rPr>
          <w:rFonts w:ascii="Times New Roman" w:hAnsi="Times New Roman" w:eastAsia="宋体"/>
          <w:b w:val="0"/>
          <w:sz w:val="24"/>
        </w:rPr>
        <w:t>：值得注意，「汤」在福建还越出了厨房。下南洋的福建人带去的首先是汤谱与茶——一道汤的配方，比一纸家书更早抵达异乡。</w:t>
      </w:r>
      <w:r>
        <w:rPr>
          <w:rFonts w:ascii="Times New Roman" w:hAnsi="Times New Roman" w:eastAsia="黑体"/>
          <w:b/>
          <w:sz w:val="24"/>
        </w:rPr>
        <w:t>汤是福建人的随身行囊。</w:t>
      </w:r>
    </w:p>
    <w:p>
      <w:pPr>
        <w:pStyle w:val="Heading1"/>
        <w:spacing w:before="280" w:after="160"/>
      </w:pPr>
      <w:r>
        <w:rPr>
          <w:rFonts w:ascii="Times New Roman" w:hAnsi="Times New Roman" w:eastAsia="黑体"/>
          <w:b/>
          <w:color w:val="000000"/>
          <w:sz w:val="32"/>
        </w:rPr>
        <w:t>第五章 甘：后味的时间结构</w:t>
      </w:r>
    </w:p>
    <w:p>
      <w:pPr>
        <w:pStyle w:val="Heading2"/>
        <w:spacing w:before="200" w:after="100"/>
      </w:pPr>
      <w:r>
        <w:rPr>
          <w:rFonts w:ascii="Times New Roman" w:hAnsi="Times New Roman" w:eastAsia="黑体"/>
          <w:b/>
          <w:color w:val="000000"/>
          <w:sz w:val="27"/>
        </w:rPr>
        <w:t>5.1 回甘：作为感官事件的「后味」</w:t>
      </w:r>
    </w:p>
    <w:p>
      <w:pPr>
        <w:spacing w:line="360" w:lineRule="auto" w:after="60"/>
        <w:ind w:firstLine="480"/>
      </w:pPr>
      <w:r>
        <w:rPr>
          <w:rFonts w:ascii="Times New Roman" w:hAnsi="Times New Roman" w:eastAsia="宋体"/>
          <w:b w:val="0"/>
          <w:sz w:val="24"/>
        </w:rPr>
        <w:t>在描述性感官评价中，「后味」（aftertaste）指初始刺激消退后残留的感知。回甘是其中最著名的一种正性后味：初始的涩或苦退场，甜感自舌根缓缓浮起，且往往比初味更长——它可以持续到下一口食物之前。</w:t>
      </w:r>
    </w:p>
    <w:p>
      <w:pPr>
        <w:spacing w:line="360" w:lineRule="auto" w:after="60"/>
        <w:ind w:firstLine="480"/>
      </w:pPr>
      <w:r>
        <w:rPr>
          <w:rFonts w:ascii="Times New Roman" w:hAnsi="Times New Roman" w:eastAsia="宋体"/>
          <w:b w:val="0"/>
          <w:sz w:val="24"/>
        </w:rPr>
        <w:t>回甘的经典载体是茶。福建是中国茶的原乡之一，茶在各个民系的日常中占据结构性的位置（《福建的饮食文化》对饮茶传统的概览[18]）。</w:t>
      </w:r>
      <w:r>
        <w:rPr>
          <w:rFonts w:ascii="Times New Roman" w:hAnsi="Times New Roman" w:eastAsia="黑体"/>
          <w:b/>
          <w:sz w:val="24"/>
        </w:rPr>
        <w:t>如果说第三章的「韧」是闽地上半场的口感，那么「甘」是它给出的下半场。</w:t>
      </w:r>
    </w:p>
    <w:p>
      <w:pPr>
        <w:pStyle w:val="Heading2"/>
        <w:spacing w:before="200" w:after="100"/>
      </w:pPr>
      <w:r>
        <w:rPr>
          <w:rFonts w:ascii="Times New Roman" w:hAnsi="Times New Roman" w:eastAsia="黑体"/>
          <w:b/>
          <w:color w:val="000000"/>
          <w:sz w:val="27"/>
        </w:rPr>
        <w:t>5.2 甜的另一支：糖果与荔枝</w:t>
      </w:r>
    </w:p>
    <w:p>
      <w:pPr>
        <w:spacing w:line="360" w:lineRule="auto" w:after="60"/>
        <w:ind w:firstLine="480"/>
      </w:pPr>
      <w:r>
        <w:rPr>
          <w:rFonts w:ascii="Times New Roman" w:hAnsi="Times New Roman" w:eastAsia="宋体"/>
          <w:b w:val="0"/>
          <w:sz w:val="24"/>
        </w:rPr>
        <w:t>福建饮食中的甜食传统同样悠久：糖、蜜饯、甜汤与四季鲜果构成另一条呈味支线；荔枝、龙眼之类的果品，是这片土地上最古老的「糖的修辞」（[18]）。甜在福建的味觉版图中不占首座，却像一条卧底的线——在你以为故事已经结束时回来。</w:t>
      </w:r>
    </w:p>
    <w:p>
      <w:pPr>
        <w:pStyle w:val="Heading2"/>
        <w:spacing w:before="200" w:after="100"/>
      </w:pPr>
      <w:r>
        <w:rPr>
          <w:rFonts w:ascii="Times New Roman" w:hAnsi="Times New Roman" w:eastAsia="黑体"/>
          <w:b/>
          <w:color w:val="000000"/>
          <w:sz w:val="27"/>
        </w:rPr>
        <w:t>5.3 苦尽与回甘：一种历史味觉结构</w:t>
      </w:r>
    </w:p>
    <w:p>
      <w:pPr>
        <w:spacing w:line="360" w:lineRule="auto" w:after="60"/>
        <w:ind w:firstLine="480"/>
      </w:pPr>
      <w:r>
        <w:rPr>
          <w:rFonts w:ascii="Times New Roman" w:hAnsi="Times New Roman" w:eastAsia="宋体"/>
          <w:b w:val="0"/>
          <w:sz w:val="24"/>
        </w:rPr>
        <w:t>福建的地理常被概括为「八山一水一分田」。山多地少，迫使一代代人向海而生：驾船、经商、下南洋。离乡的苦味、漂泊的涩感，与侨汇、归乡、营造的甜，在时间的舌面上前后相继。</w:t>
      </w:r>
    </w:p>
    <w:p>
      <w:pPr>
        <w:spacing w:line="360" w:lineRule="auto" w:after="60"/>
        <w:ind w:firstLine="480"/>
      </w:pPr>
      <w:r>
        <w:rPr>
          <w:rFonts w:ascii="Times New Roman" w:hAnsi="Times New Roman" w:eastAsia="黑体"/>
          <w:b/>
          <w:sz w:val="24"/>
        </w:rPr>
        <w:t>结构类比（标注）</w:t>
      </w:r>
      <w:r>
        <w:rPr>
          <w:rFonts w:ascii="Times New Roman" w:hAnsi="Times New Roman" w:eastAsia="宋体"/>
          <w:b w:val="0"/>
          <w:sz w:val="24"/>
        </w:rPr>
        <w:t>：把这段历史读作味觉结构上的「先涩后甘」，是一次文学读法而非化学陈述。它的意义不在于断言历史是甜的，而在于指出：</w:t>
      </w:r>
      <w:r>
        <w:rPr>
          <w:rFonts w:ascii="Times New Roman" w:hAnsi="Times New Roman" w:eastAsia="黑体"/>
          <w:b/>
          <w:sz w:val="24"/>
        </w:rPr>
        <w:t>一个群体的叙事语法与其味觉语法，常常惊人地押韵。</w:t>
      </w:r>
    </w:p>
    <w:p>
      <w:pPr>
        <w:pStyle w:val="Heading2"/>
        <w:spacing w:before="200" w:after="100"/>
      </w:pPr>
      <w:r>
        <w:rPr>
          <w:rFonts w:ascii="Times New Roman" w:hAnsi="Times New Roman" w:eastAsia="黑体"/>
          <w:b/>
          <w:color w:val="000000"/>
          <w:sz w:val="27"/>
        </w:rPr>
        <w:t>5.4 命题 IV（后味命题）</w:t>
      </w:r>
    </w:p>
    <w:p>
      <w:pPr>
        <w:spacing w:line="360" w:lineRule="auto" w:after="60"/>
        <w:ind w:firstLine="480"/>
      </w:pPr>
      <w:r>
        <w:rPr>
          <w:rFonts w:ascii="Times New Roman" w:hAnsi="Times New Roman" w:eastAsia="黑体"/>
          <w:b/>
          <w:sz w:val="24"/>
        </w:rPr>
        <w:t>命题 5.1（后味命题）</w:t>
      </w:r>
      <w:r>
        <w:rPr>
          <w:rFonts w:ascii="Times New Roman" w:hAnsi="Times New Roman" w:eastAsia="宋体"/>
          <w:b w:val="0"/>
          <w:sz w:val="24"/>
        </w:rPr>
        <w:t>：在假设层面，其风味曲线以「回甘」收尾——初味清鲜，中段浓烈，尾部甜感缓缓返还，整体曲线优于顿感型（一口定胜负）的风味结构。</w:t>
      </w:r>
    </w:p>
    <w:p>
      <w:pPr>
        <w:spacing w:line="360" w:lineRule="auto" w:after="60"/>
        <w:ind w:firstLine="480"/>
      </w:pPr>
      <w:r>
        <w:rPr>
          <w:rFonts w:ascii="Times New Roman" w:hAnsi="Times New Roman" w:eastAsia="黑体"/>
          <w:b/>
          <w:sz w:val="24"/>
        </w:rPr>
        <w:t>论证</w:t>
      </w:r>
      <w:r>
        <w:rPr>
          <w:rFonts w:ascii="Times New Roman" w:hAnsi="Times New Roman" w:eastAsia="宋体"/>
          <w:b w:val="0"/>
          <w:sz w:val="24"/>
        </w:rPr>
        <w:t>：茶与甜食构成其饮食结构中稳定的后味训练（5.1—5.2，文献支撑）；历史叙事提供「涩—甘」的时间结构（5.3，结构类比）；故假设其味觉曲线呈回甘型（推论，强度：中）。</w:t>
      </w:r>
    </w:p>
    <w:p>
      <w:pPr>
        <w:pStyle w:val="Heading1"/>
        <w:spacing w:before="280" w:after="160"/>
      </w:pPr>
      <w:r>
        <w:rPr>
          <w:rFonts w:ascii="Times New Roman" w:hAnsi="Times New Roman" w:eastAsia="黑体"/>
          <w:b/>
          <w:color w:val="000000"/>
          <w:sz w:val="32"/>
        </w:rPr>
        <w:t>第六章 合：佛跳墙结构</w:t>
      </w:r>
    </w:p>
    <w:p>
      <w:pPr>
        <w:pStyle w:val="Heading2"/>
        <w:spacing w:before="200" w:after="100"/>
      </w:pPr>
      <w:r>
        <w:rPr>
          <w:rFonts w:ascii="Times New Roman" w:hAnsi="Times New Roman" w:eastAsia="黑体"/>
          <w:b/>
          <w:color w:val="000000"/>
          <w:sz w:val="27"/>
        </w:rPr>
        <w:t>6.1 佛跳墙的构造学</w:t>
      </w:r>
    </w:p>
    <w:p>
      <w:pPr>
        <w:spacing w:line="360" w:lineRule="auto" w:after="60"/>
        <w:ind w:firstLine="480"/>
      </w:pPr>
      <w:r>
        <w:rPr>
          <w:rFonts w:ascii="Times New Roman" w:hAnsi="Times New Roman" w:eastAsia="宋体"/>
          <w:b w:val="0"/>
          <w:sz w:val="24"/>
        </w:rPr>
        <w:t>佛跳墙，福州首菜，名出「坛启荤香飘四邻，佛闻弃禅跳墙来」。匡济考辨了它的来历与命名传说[20]；吴先辉把它作为闽菜工艺的集大成者予以整理[17]；王育洁、黄晓星的琉球研究则显示，这坛香味甚至越过了海——琉球王国曾系统吸收闽菜技法[19]。</w:t>
      </w:r>
    </w:p>
    <w:p>
      <w:pPr>
        <w:spacing w:line="360" w:lineRule="auto" w:after="60"/>
        <w:ind w:firstLine="480"/>
      </w:pPr>
      <w:r>
        <w:rPr>
          <w:rFonts w:ascii="Times New Roman" w:hAnsi="Times New Roman" w:eastAsia="宋体"/>
          <w:b w:val="0"/>
          <w:sz w:val="24"/>
        </w:rPr>
        <w:t>从构造学看，佛跳墙提供三个要点：</w:t>
      </w:r>
      <w:r>
        <w:rPr>
          <w:rFonts w:ascii="Times New Roman" w:hAnsi="Times New Roman" w:eastAsia="黑体"/>
          <w:b/>
          <w:sz w:val="24"/>
        </w:rPr>
        <w:t>其一，山海同坛</w:t>
      </w:r>
      <w:r>
        <w:rPr>
          <w:rFonts w:ascii="Times New Roman" w:hAnsi="Times New Roman" w:eastAsia="宋体"/>
          <w:b w:val="0"/>
          <w:sz w:val="24"/>
        </w:rPr>
        <w:t>——海味（鲍、参、翅、肚、干贝）与山珍（菇、笋、蹄筋）在同一坛内共存；</w:t>
      </w:r>
      <w:r>
        <w:rPr>
          <w:rFonts w:ascii="Times New Roman" w:hAnsi="Times New Roman" w:eastAsia="黑体"/>
          <w:b/>
          <w:sz w:val="24"/>
        </w:rPr>
        <w:t>其二，多层同煨</w:t>
      </w:r>
      <w:r>
        <w:rPr>
          <w:rFonts w:ascii="Times New Roman" w:hAnsi="Times New Roman" w:eastAsia="宋体"/>
          <w:b w:val="0"/>
          <w:sz w:val="24"/>
        </w:rPr>
        <w:t>——各原料分别预制备，再按耐煨程度分层入坛；</w:t>
      </w:r>
      <w:r>
        <w:rPr>
          <w:rFonts w:ascii="Times New Roman" w:hAnsi="Times New Roman" w:eastAsia="黑体"/>
          <w:b/>
          <w:sz w:val="24"/>
        </w:rPr>
        <w:t>其三，以汤统合</w:t>
      </w:r>
      <w:r>
        <w:rPr>
          <w:rFonts w:ascii="Times New Roman" w:hAnsi="Times New Roman" w:eastAsia="宋体"/>
          <w:b w:val="0"/>
          <w:sz w:val="24"/>
        </w:rPr>
        <w:t>——坛内各自的个性不取消，但由汤完成最终的和声。</w:t>
      </w:r>
    </w:p>
    <w:p>
      <w:pPr>
        <w:pStyle w:val="Heading2"/>
        <w:spacing w:before="200" w:after="100"/>
      </w:pPr>
      <w:r>
        <w:rPr>
          <w:rFonts w:ascii="Times New Roman" w:hAnsi="Times New Roman" w:eastAsia="黑体"/>
          <w:b/>
          <w:color w:val="000000"/>
          <w:sz w:val="27"/>
        </w:rPr>
        <w:t>6.2 以坛观福建</w:t>
      </w:r>
    </w:p>
    <w:p>
      <w:pPr>
        <w:spacing w:line="360" w:lineRule="auto" w:after="60"/>
        <w:ind w:firstLine="480"/>
      </w:pPr>
      <w:r>
        <w:rPr>
          <w:rFonts w:ascii="Times New Roman" w:hAnsi="Times New Roman" w:eastAsia="宋体"/>
          <w:b w:val="0"/>
          <w:sz w:val="24"/>
        </w:rPr>
        <w:t>如果把整个福建「以坛观之」：沿海的鲜与山地的韧，是同坛之料；多民系的差异，是分层入坛的原料；而共同的汤——语言上的互文、餐桌上的接力、出洋与归乡的循环——把它们整合成一个复合体。</w:t>
      </w:r>
    </w:p>
    <w:p>
      <w:pPr>
        <w:spacing w:line="360" w:lineRule="auto" w:after="60"/>
        <w:ind w:firstLine="480"/>
      </w:pPr>
      <w:r>
        <w:rPr>
          <w:rFonts w:ascii="Times New Roman" w:hAnsi="Times New Roman" w:eastAsia="宋体"/>
          <w:b w:val="0"/>
          <w:sz w:val="24"/>
        </w:rPr>
        <w:t>这个复合体的感官画像因此不是任何一种单一风味，而是</w:t>
      </w:r>
      <w:r>
        <w:rPr>
          <w:rFonts w:ascii="Times New Roman" w:hAnsi="Times New Roman" w:eastAsia="黑体"/>
          <w:b/>
          <w:sz w:val="24"/>
        </w:rPr>
        <w:t>结构本身</w:t>
      </w:r>
      <w:r>
        <w:rPr>
          <w:rFonts w:ascii="Times New Roman" w:hAnsi="Times New Roman" w:eastAsia="宋体"/>
          <w:b w:val="0"/>
          <w:sz w:val="24"/>
        </w:rPr>
        <w:t>：它是「合」，是多层次在同一个体上的共存。</w:t>
      </w:r>
    </w:p>
    <w:p>
      <w:pPr>
        <w:pStyle w:val="Heading2"/>
        <w:spacing w:before="200" w:after="100"/>
      </w:pPr>
      <w:r>
        <w:rPr>
          <w:rFonts w:ascii="Times New Roman" w:hAnsi="Times New Roman" w:eastAsia="黑体"/>
          <w:b/>
          <w:color w:val="000000"/>
          <w:sz w:val="27"/>
        </w:rPr>
        <w:t>6.3 命题 V（结构命题）</w:t>
      </w:r>
    </w:p>
    <w:p>
      <w:pPr>
        <w:spacing w:line="360" w:lineRule="auto" w:after="60"/>
        <w:ind w:firstLine="480"/>
      </w:pPr>
      <w:r>
        <w:rPr>
          <w:rFonts w:ascii="Times New Roman" w:hAnsi="Times New Roman" w:eastAsia="黑体"/>
          <w:b/>
          <w:sz w:val="24"/>
        </w:rPr>
        <w:t>命题 6.1（结构命题）</w:t>
      </w:r>
      <w:r>
        <w:rPr>
          <w:rFonts w:ascii="Times New Roman" w:hAnsi="Times New Roman" w:eastAsia="宋体"/>
          <w:b w:val="0"/>
          <w:sz w:val="24"/>
        </w:rPr>
        <w:t>：其感官画像的整体性呈「佛跳墙结构」——复合而非单一，层次而非扁平，以「汤」（共同的文化介质）统合异质成分；整体评价高于各维度评分的简单加和。</w:t>
      </w:r>
    </w:p>
    <w:p>
      <w:pPr>
        <w:spacing w:line="360" w:lineRule="auto" w:after="60"/>
        <w:ind w:firstLine="480"/>
      </w:pPr>
      <w:r>
        <w:rPr>
          <w:rFonts w:ascii="Times New Roman" w:hAnsi="Times New Roman" w:eastAsia="黑体"/>
          <w:b/>
          <w:sz w:val="24"/>
        </w:rPr>
        <w:t>论证</w:t>
      </w:r>
      <w:r>
        <w:rPr>
          <w:rFonts w:ascii="Times New Roman" w:hAnsi="Times New Roman" w:eastAsia="宋体"/>
          <w:b w:val="0"/>
          <w:sz w:val="24"/>
        </w:rPr>
        <w:t>：佛跳墙的构造原则（山海同坛、多层同煨、以汤统合）是对闽地食材—民系结构的同构表达（6.1—6.2，文献与文化文本支撑）；整体评价的构成因素符合感官评价中「复杂性与和谐度加分」的一般规律（[1][2]）；故其整体性呈「合」的结构（推论，强度：中）。</w:t>
      </w:r>
    </w:p>
    <w:p>
      <w:pPr>
        <w:pStyle w:val="Heading2"/>
        <w:spacing w:before="200" w:after="100"/>
      </w:pPr>
      <w:r>
        <w:rPr>
          <w:rFonts w:ascii="Times New Roman" w:hAnsi="Times New Roman" w:eastAsia="黑体"/>
          <w:b/>
          <w:color w:val="000000"/>
          <w:sz w:val="27"/>
        </w:rPr>
        <w:t>6.4 五命题总表</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tblGrid>
      <w:tr>
        <w:tc>
          <w:tcPr>
            <w:tcW w:type="dxa" w:w="1662"/>
          </w:tcPr>
          <w:p>
            <w:pPr>
              <w:spacing w:line="300" w:lineRule="auto" w:before="40" w:after="40"/>
            </w:pPr>
            <w:r>
              <w:rPr>
                <w:rFonts w:ascii="Times New Roman" w:hAnsi="Times New Roman" w:eastAsia="宋体"/>
                <w:b/>
                <w:sz w:val="21"/>
              </w:rPr>
              <w:t>命题</w:t>
            </w:r>
          </w:p>
        </w:tc>
        <w:tc>
          <w:tcPr>
            <w:tcW w:type="dxa" w:w="1662"/>
          </w:tcPr>
          <w:p>
            <w:pPr>
              <w:spacing w:line="300" w:lineRule="auto" w:before="40" w:after="40"/>
            </w:pPr>
            <w:r>
              <w:rPr>
                <w:rFonts w:ascii="Times New Roman" w:hAnsi="Times New Roman" w:eastAsia="宋体"/>
                <w:b/>
                <w:sz w:val="21"/>
              </w:rPr>
              <w:t>名称</w:t>
            </w:r>
          </w:p>
        </w:tc>
        <w:tc>
          <w:tcPr>
            <w:tcW w:type="dxa" w:w="1662"/>
          </w:tcPr>
          <w:p>
            <w:pPr>
              <w:spacing w:line="300" w:lineRule="auto" w:before="40" w:after="40"/>
            </w:pPr>
            <w:r>
              <w:rPr>
                <w:rFonts w:ascii="Times New Roman" w:hAnsi="Times New Roman" w:eastAsia="宋体"/>
                <w:b/>
                <w:sz w:val="21"/>
              </w:rPr>
              <w:t>核心主张</w:t>
            </w:r>
          </w:p>
        </w:tc>
        <w:tc>
          <w:tcPr>
            <w:tcW w:type="dxa" w:w="1662"/>
          </w:tcPr>
          <w:p>
            <w:pPr>
              <w:spacing w:line="300" w:lineRule="auto" w:before="40" w:after="40"/>
            </w:pPr>
            <w:r>
              <w:rPr>
                <w:rFonts w:ascii="Times New Roman" w:hAnsi="Times New Roman" w:eastAsia="宋体"/>
                <w:b/>
                <w:sz w:val="21"/>
              </w:rPr>
              <w:t>证据类型</w:t>
            </w:r>
          </w:p>
        </w:tc>
        <w:tc>
          <w:tcPr>
            <w:tcW w:type="dxa" w:w="1662"/>
          </w:tcPr>
          <w:p>
            <w:pPr>
              <w:spacing w:line="300" w:lineRule="auto" w:before="40" w:after="40"/>
            </w:pPr>
            <w:r>
              <w:rPr>
                <w:rFonts w:ascii="Times New Roman" w:hAnsi="Times New Roman" w:eastAsia="宋体"/>
                <w:b/>
                <w:sz w:val="21"/>
              </w:rPr>
              <w:t>强度</w:t>
            </w:r>
          </w:p>
        </w:tc>
      </w:tr>
      <w:tr>
        <w:tc>
          <w:tcPr>
            <w:tcW w:type="dxa" w:w="1662"/>
          </w:tcPr>
          <w:p>
            <w:pPr>
              <w:spacing w:line="300" w:lineRule="auto" w:before="40" w:after="40"/>
            </w:pPr>
            <w:r>
              <w:rPr>
                <w:rFonts w:ascii="Times New Roman" w:hAnsi="Times New Roman" w:eastAsia="宋体"/>
                <w:b w:val="0"/>
                <w:sz w:val="21"/>
              </w:rPr>
              <w:t>2.1</w:t>
            </w:r>
          </w:p>
        </w:tc>
        <w:tc>
          <w:tcPr>
            <w:tcW w:type="dxa" w:w="1662"/>
          </w:tcPr>
          <w:p>
            <w:pPr>
              <w:spacing w:line="300" w:lineRule="auto" w:before="40" w:after="40"/>
            </w:pPr>
            <w:r>
              <w:rPr>
                <w:rFonts w:ascii="Times New Roman" w:hAnsi="Times New Roman" w:eastAsia="宋体"/>
                <w:b w:val="0"/>
                <w:sz w:val="21"/>
              </w:rPr>
              <w:t>底味命题</w:t>
            </w:r>
          </w:p>
        </w:tc>
        <w:tc>
          <w:tcPr>
            <w:tcW w:type="dxa" w:w="1662"/>
          </w:tcPr>
          <w:p>
            <w:pPr>
              <w:spacing w:line="300" w:lineRule="auto" w:before="40" w:after="40"/>
            </w:pPr>
            <w:r>
              <w:rPr>
                <w:rFonts w:ascii="Times New Roman" w:hAnsi="Times New Roman" w:eastAsia="宋体"/>
                <w:b w:val="0"/>
                <w:sz w:val="21"/>
              </w:rPr>
              <w:t>风味基底为鲜味主导的复合氨基酸—核苷酸谱</w:t>
            </w:r>
          </w:p>
        </w:tc>
        <w:tc>
          <w:tcPr>
            <w:tcW w:type="dxa" w:w="1662"/>
          </w:tcPr>
          <w:p>
            <w:pPr>
              <w:spacing w:line="300" w:lineRule="auto" w:before="40" w:after="40"/>
            </w:pPr>
            <w:r>
              <w:rPr>
                <w:rFonts w:ascii="Times New Roman" w:hAnsi="Times New Roman" w:eastAsia="宋体"/>
                <w:b w:val="0"/>
                <w:sz w:val="21"/>
              </w:rPr>
              <w:t>严格应用＋文献</w:t>
            </w:r>
          </w:p>
        </w:tc>
        <w:tc>
          <w:tcPr>
            <w:tcW w:type="dxa" w:w="1662"/>
          </w:tcPr>
          <w:p>
            <w:pPr>
              <w:spacing w:line="300" w:lineRule="auto" w:before="40" w:after="40"/>
            </w:pPr>
            <w:r>
              <w:rPr>
                <w:rFonts w:ascii="Times New Roman" w:hAnsi="Times New Roman" w:eastAsia="宋体"/>
                <w:b w:val="0"/>
                <w:sz w:val="21"/>
              </w:rPr>
              <w:t>中高</w:t>
            </w:r>
          </w:p>
        </w:tc>
      </w:tr>
      <w:tr>
        <w:tc>
          <w:tcPr>
            <w:tcW w:type="dxa" w:w="1662"/>
          </w:tcPr>
          <w:p>
            <w:pPr>
              <w:spacing w:line="300" w:lineRule="auto" w:before="40" w:after="40"/>
            </w:pPr>
            <w:r>
              <w:rPr>
                <w:rFonts w:ascii="Times New Roman" w:hAnsi="Times New Roman" w:eastAsia="宋体"/>
                <w:b w:val="0"/>
                <w:sz w:val="21"/>
              </w:rPr>
              <w:t>3.1</w:t>
            </w:r>
          </w:p>
        </w:tc>
        <w:tc>
          <w:tcPr>
            <w:tcW w:type="dxa" w:w="1662"/>
          </w:tcPr>
          <w:p>
            <w:pPr>
              <w:spacing w:line="300" w:lineRule="auto" w:before="40" w:after="40"/>
            </w:pPr>
            <w:r>
              <w:rPr>
                <w:rFonts w:ascii="Times New Roman" w:hAnsi="Times New Roman" w:eastAsia="宋体"/>
                <w:b w:val="0"/>
                <w:sz w:val="21"/>
              </w:rPr>
              <w:t>质构谱系命题</w:t>
            </w:r>
          </w:p>
        </w:tc>
        <w:tc>
          <w:tcPr>
            <w:tcW w:type="dxa" w:w="1662"/>
          </w:tcPr>
          <w:p>
            <w:pPr>
              <w:spacing w:line="300" w:lineRule="auto" w:before="40" w:after="40"/>
            </w:pPr>
            <w:r>
              <w:rPr>
                <w:rFonts w:ascii="Times New Roman" w:hAnsi="Times New Roman" w:eastAsia="宋体"/>
                <w:b w:val="0"/>
                <w:sz w:val="21"/>
              </w:rPr>
              <w:t>嫩度沿山—海轴呈谱系分布而非单点值</w:t>
            </w:r>
          </w:p>
        </w:tc>
        <w:tc>
          <w:tcPr>
            <w:tcW w:type="dxa" w:w="1662"/>
          </w:tcPr>
          <w:p>
            <w:pPr>
              <w:spacing w:line="300" w:lineRule="auto" w:before="40" w:after="40"/>
            </w:pPr>
            <w:r>
              <w:rPr>
                <w:rFonts w:ascii="Times New Roman" w:hAnsi="Times New Roman" w:eastAsia="宋体"/>
                <w:b w:val="0"/>
                <w:sz w:val="21"/>
              </w:rPr>
              <w:t>严格应用＋结构类比</w:t>
            </w:r>
          </w:p>
        </w:tc>
        <w:tc>
          <w:tcPr>
            <w:tcW w:type="dxa" w:w="1662"/>
          </w:tcPr>
          <w:p>
            <w:pPr>
              <w:spacing w:line="300" w:lineRule="auto" w:before="40" w:after="40"/>
            </w:pPr>
            <w:r>
              <w:rPr>
                <w:rFonts w:ascii="Times New Roman" w:hAnsi="Times New Roman" w:eastAsia="宋体"/>
                <w:b w:val="0"/>
                <w:sz w:val="21"/>
              </w:rPr>
              <w:t>中</w:t>
            </w:r>
          </w:p>
        </w:tc>
      </w:tr>
      <w:tr>
        <w:tc>
          <w:tcPr>
            <w:tcW w:type="dxa" w:w="1662"/>
          </w:tcPr>
          <w:p>
            <w:pPr>
              <w:spacing w:line="300" w:lineRule="auto" w:before="40" w:after="40"/>
            </w:pPr>
            <w:r>
              <w:rPr>
                <w:rFonts w:ascii="Times New Roman" w:hAnsi="Times New Roman" w:eastAsia="宋体"/>
                <w:b w:val="0"/>
                <w:sz w:val="21"/>
              </w:rPr>
              <w:t>4.1</w:t>
            </w:r>
          </w:p>
        </w:tc>
        <w:tc>
          <w:tcPr>
            <w:tcW w:type="dxa" w:w="1662"/>
          </w:tcPr>
          <w:p>
            <w:pPr>
              <w:spacing w:line="300" w:lineRule="auto" w:before="40" w:after="40"/>
            </w:pPr>
            <w:r>
              <w:rPr>
                <w:rFonts w:ascii="Times New Roman" w:hAnsi="Times New Roman" w:eastAsia="宋体"/>
                <w:b w:val="0"/>
                <w:sz w:val="21"/>
              </w:rPr>
              <w:t>多汁性命题</w:t>
            </w:r>
          </w:p>
        </w:tc>
        <w:tc>
          <w:tcPr>
            <w:tcW w:type="dxa" w:w="1662"/>
          </w:tcPr>
          <w:p>
            <w:pPr>
              <w:spacing w:line="300" w:lineRule="auto" w:before="40" w:after="40"/>
            </w:pPr>
            <w:r>
              <w:rPr>
                <w:rFonts w:ascii="Times New Roman" w:hAnsi="Times New Roman" w:eastAsia="宋体"/>
                <w:b w:val="0"/>
                <w:sz w:val="21"/>
              </w:rPr>
              <w:t>汤感与保水性偏高，「汤之为体」</w:t>
            </w:r>
          </w:p>
        </w:tc>
        <w:tc>
          <w:tcPr>
            <w:tcW w:type="dxa" w:w="1662"/>
          </w:tcPr>
          <w:p>
            <w:pPr>
              <w:spacing w:line="300" w:lineRule="auto" w:before="40" w:after="40"/>
            </w:pPr>
            <w:r>
              <w:rPr>
                <w:rFonts w:ascii="Times New Roman" w:hAnsi="Times New Roman" w:eastAsia="宋体"/>
                <w:b w:val="0"/>
                <w:sz w:val="21"/>
              </w:rPr>
              <w:t>结构类比</w:t>
            </w:r>
          </w:p>
        </w:tc>
        <w:tc>
          <w:tcPr>
            <w:tcW w:type="dxa" w:w="1662"/>
          </w:tcPr>
          <w:p>
            <w:pPr>
              <w:spacing w:line="300" w:lineRule="auto" w:before="40" w:after="40"/>
            </w:pPr>
            <w:r>
              <w:rPr>
                <w:rFonts w:ascii="Times New Roman" w:hAnsi="Times New Roman" w:eastAsia="宋体"/>
                <w:b w:val="0"/>
                <w:sz w:val="21"/>
              </w:rPr>
              <w:t>中</w:t>
            </w:r>
          </w:p>
        </w:tc>
      </w:tr>
      <w:tr>
        <w:tc>
          <w:tcPr>
            <w:tcW w:type="dxa" w:w="1662"/>
          </w:tcPr>
          <w:p>
            <w:pPr>
              <w:spacing w:line="300" w:lineRule="auto" w:before="40" w:after="40"/>
            </w:pPr>
            <w:r>
              <w:rPr>
                <w:rFonts w:ascii="Times New Roman" w:hAnsi="Times New Roman" w:eastAsia="宋体"/>
                <w:b w:val="0"/>
                <w:sz w:val="21"/>
              </w:rPr>
              <w:t>5.1</w:t>
            </w:r>
          </w:p>
        </w:tc>
        <w:tc>
          <w:tcPr>
            <w:tcW w:type="dxa" w:w="1662"/>
          </w:tcPr>
          <w:p>
            <w:pPr>
              <w:spacing w:line="300" w:lineRule="auto" w:before="40" w:after="40"/>
            </w:pPr>
            <w:r>
              <w:rPr>
                <w:rFonts w:ascii="Times New Roman" w:hAnsi="Times New Roman" w:eastAsia="宋体"/>
                <w:b w:val="0"/>
                <w:sz w:val="21"/>
              </w:rPr>
              <w:t>后味命题</w:t>
            </w:r>
          </w:p>
        </w:tc>
        <w:tc>
          <w:tcPr>
            <w:tcW w:type="dxa" w:w="1662"/>
          </w:tcPr>
          <w:p>
            <w:pPr>
              <w:spacing w:line="300" w:lineRule="auto" w:before="40" w:after="40"/>
            </w:pPr>
            <w:r>
              <w:rPr>
                <w:rFonts w:ascii="Times New Roman" w:hAnsi="Times New Roman" w:eastAsia="宋体"/>
                <w:b w:val="0"/>
                <w:sz w:val="21"/>
              </w:rPr>
              <w:t>风味曲线以「回甘」收尾</w:t>
            </w:r>
          </w:p>
        </w:tc>
        <w:tc>
          <w:tcPr>
            <w:tcW w:type="dxa" w:w="1662"/>
          </w:tcPr>
          <w:p>
            <w:pPr>
              <w:spacing w:line="300" w:lineRule="auto" w:before="40" w:after="40"/>
            </w:pPr>
            <w:r>
              <w:rPr>
                <w:rFonts w:ascii="Times New Roman" w:hAnsi="Times New Roman" w:eastAsia="宋体"/>
                <w:b w:val="0"/>
                <w:sz w:val="21"/>
              </w:rPr>
              <w:t>文献＋结构类比</w:t>
            </w:r>
          </w:p>
        </w:tc>
        <w:tc>
          <w:tcPr>
            <w:tcW w:type="dxa" w:w="1662"/>
          </w:tcPr>
          <w:p>
            <w:pPr>
              <w:spacing w:line="300" w:lineRule="auto" w:before="40" w:after="40"/>
            </w:pPr>
            <w:r>
              <w:rPr>
                <w:rFonts w:ascii="Times New Roman" w:hAnsi="Times New Roman" w:eastAsia="宋体"/>
                <w:b w:val="0"/>
                <w:sz w:val="21"/>
              </w:rPr>
              <w:t>中</w:t>
            </w:r>
          </w:p>
        </w:tc>
      </w:tr>
      <w:tr>
        <w:tc>
          <w:tcPr>
            <w:tcW w:type="dxa" w:w="1662"/>
          </w:tcPr>
          <w:p>
            <w:pPr>
              <w:spacing w:line="300" w:lineRule="auto" w:before="40" w:after="40"/>
            </w:pPr>
            <w:r>
              <w:rPr>
                <w:rFonts w:ascii="Times New Roman" w:hAnsi="Times New Roman" w:eastAsia="宋体"/>
                <w:b w:val="0"/>
                <w:sz w:val="21"/>
              </w:rPr>
              <w:t>6.1</w:t>
            </w:r>
          </w:p>
        </w:tc>
        <w:tc>
          <w:tcPr>
            <w:tcW w:type="dxa" w:w="1662"/>
          </w:tcPr>
          <w:p>
            <w:pPr>
              <w:spacing w:line="300" w:lineRule="auto" w:before="40" w:after="40"/>
            </w:pPr>
            <w:r>
              <w:rPr>
                <w:rFonts w:ascii="Times New Roman" w:hAnsi="Times New Roman" w:eastAsia="宋体"/>
                <w:b w:val="0"/>
                <w:sz w:val="21"/>
              </w:rPr>
              <w:t>结构命题</w:t>
            </w:r>
          </w:p>
        </w:tc>
        <w:tc>
          <w:tcPr>
            <w:tcW w:type="dxa" w:w="1662"/>
          </w:tcPr>
          <w:p>
            <w:pPr>
              <w:spacing w:line="300" w:lineRule="auto" w:before="40" w:after="40"/>
            </w:pPr>
            <w:r>
              <w:rPr>
                <w:rFonts w:ascii="Times New Roman" w:hAnsi="Times New Roman" w:eastAsia="宋体"/>
                <w:b w:val="0"/>
                <w:sz w:val="21"/>
              </w:rPr>
              <w:t>整体性呈「佛跳墙结构」，以汤统合</w:t>
            </w:r>
          </w:p>
        </w:tc>
        <w:tc>
          <w:tcPr>
            <w:tcW w:type="dxa" w:w="1662"/>
          </w:tcPr>
          <w:p>
            <w:pPr>
              <w:spacing w:line="300" w:lineRule="auto" w:before="40" w:after="40"/>
            </w:pPr>
            <w:r>
              <w:rPr>
                <w:rFonts w:ascii="Times New Roman" w:hAnsi="Times New Roman" w:eastAsia="宋体"/>
                <w:b w:val="0"/>
                <w:sz w:val="21"/>
              </w:rPr>
              <w:t>文化文本＋推论</w:t>
            </w:r>
          </w:p>
        </w:tc>
        <w:tc>
          <w:tcPr>
            <w:tcW w:type="dxa" w:w="1662"/>
          </w:tcPr>
          <w:p>
            <w:pPr>
              <w:spacing w:line="300" w:lineRule="auto" w:before="40" w:after="40"/>
            </w:pPr>
            <w:r>
              <w:rPr>
                <w:rFonts w:ascii="Times New Roman" w:hAnsi="Times New Roman" w:eastAsia="宋体"/>
                <w:b w:val="0"/>
                <w:sz w:val="21"/>
              </w:rPr>
              <w:t>中</w:t>
            </w:r>
          </w:p>
        </w:tc>
      </w:tr>
    </w:tbl>
    <w:p>
      <w:pPr>
        <w:spacing w:after="80"/>
      </w:pPr>
    </w:p>
    <w:p>
      <w:pPr>
        <w:spacing w:line="360" w:lineRule="auto" w:after="60"/>
        <w:ind w:firstLine="480"/>
      </w:pPr>
      <w:r>
        <w:rPr>
          <w:rFonts w:ascii="Times New Roman" w:hAnsi="Times New Roman" w:eastAsia="宋体"/>
          <w:b w:val="0"/>
          <w:sz w:val="24"/>
        </w:rPr>
        <w:t>（表二：五命题总表。强度为本文自我评估，供批评者定位薄弱环节。）</w:t>
      </w:r>
    </w:p>
    <w:p>
      <w:pPr>
        <w:pStyle w:val="Heading1"/>
        <w:spacing w:before="280" w:after="160"/>
      </w:pPr>
      <w:r>
        <w:rPr>
          <w:rFonts w:ascii="Times New Roman" w:hAnsi="Times New Roman" w:eastAsia="黑体"/>
          <w:b/>
          <w:color w:val="000000"/>
          <w:sz w:val="32"/>
        </w:rPr>
        <w:t>第七章 结论与讨论</w:t>
      </w:r>
    </w:p>
    <w:p>
      <w:pPr>
        <w:pStyle w:val="Heading2"/>
        <w:spacing w:before="200" w:after="100"/>
      </w:pPr>
      <w:r>
        <w:rPr>
          <w:rFonts w:ascii="Times New Roman" w:hAnsi="Times New Roman" w:eastAsia="黑体"/>
          <w:b/>
          <w:color w:val="000000"/>
          <w:sz w:val="27"/>
        </w:rPr>
        <w:t>7.1 综合感官画像</w:t>
      </w:r>
    </w:p>
    <w:p>
      <w:pPr>
        <w:spacing w:line="360" w:lineRule="auto" w:after="60"/>
        <w:ind w:firstLine="480"/>
      </w:pPr>
      <w:r>
        <w:rPr>
          <w:rFonts w:ascii="Times New Roman" w:hAnsi="Times New Roman" w:eastAsia="宋体"/>
          <w:b w:val="0"/>
          <w:sz w:val="24"/>
        </w:rPr>
        <w:t>综合五命题，在假设层面给出虚拟感官评价表一张：</w:t>
      </w:r>
    </w:p>
    <w:tbl>
      <w:tblPr>
        <w:tblStyle w:val="TableGrid"/>
        <w:tblW w:type="auto" w:w="0"/>
        <w:jc w:val="center"/>
        <w:tblLayout w:type="fixed"/>
        <w:tblLook w:firstColumn="1" w:firstRow="1" w:lastColumn="0" w:lastRow="0" w:noHBand="0" w:noVBand="1" w:val="04A0"/>
      </w:tblPr>
      <w:tblGrid>
        <w:gridCol w:w="2771"/>
        <w:gridCol w:w="2771"/>
        <w:gridCol w:w="2771"/>
      </w:tblGrid>
      <w:tr>
        <w:tc>
          <w:tcPr>
            <w:tcW w:type="dxa" w:w="2770"/>
          </w:tcPr>
          <w:p>
            <w:pPr>
              <w:spacing w:line="300" w:lineRule="auto" w:before="40" w:after="40"/>
            </w:pPr>
            <w:r>
              <w:rPr>
                <w:rFonts w:ascii="Times New Roman" w:hAnsi="Times New Roman" w:eastAsia="宋体"/>
                <w:b/>
                <w:sz w:val="21"/>
              </w:rPr>
              <w:t>维度</w:t>
            </w:r>
          </w:p>
        </w:tc>
        <w:tc>
          <w:tcPr>
            <w:tcW w:type="dxa" w:w="2770"/>
          </w:tcPr>
          <w:p>
            <w:pPr>
              <w:spacing w:line="300" w:lineRule="auto" w:before="40" w:after="40"/>
            </w:pPr>
            <w:r>
              <w:rPr>
                <w:rFonts w:ascii="Times New Roman" w:hAnsi="Times New Roman" w:eastAsia="宋体"/>
                <w:b/>
                <w:sz w:val="21"/>
              </w:rPr>
              <w:t>假设特征</w:t>
            </w:r>
          </w:p>
        </w:tc>
        <w:tc>
          <w:tcPr>
            <w:tcW w:type="dxa" w:w="2770"/>
          </w:tcPr>
          <w:p>
            <w:pPr>
              <w:spacing w:line="300" w:lineRule="auto" w:before="40" w:after="40"/>
            </w:pPr>
            <w:r>
              <w:rPr>
                <w:rFonts w:ascii="Times New Roman" w:hAnsi="Times New Roman" w:eastAsia="宋体"/>
                <w:b/>
                <w:sz w:val="21"/>
              </w:rPr>
              <w:t>主要依据</w:t>
            </w:r>
          </w:p>
        </w:tc>
      </w:tr>
      <w:tr>
        <w:tc>
          <w:tcPr>
            <w:tcW w:type="dxa" w:w="2770"/>
          </w:tcPr>
          <w:p>
            <w:pPr>
              <w:spacing w:line="300" w:lineRule="auto" w:before="40" w:after="40"/>
            </w:pPr>
            <w:r>
              <w:rPr>
                <w:rFonts w:ascii="Times New Roman" w:hAnsi="Times New Roman" w:eastAsia="宋体"/>
                <w:b w:val="0"/>
                <w:sz w:val="21"/>
              </w:rPr>
              <w:t>外观</w:t>
            </w:r>
          </w:p>
        </w:tc>
        <w:tc>
          <w:tcPr>
            <w:tcW w:type="dxa" w:w="2770"/>
          </w:tcPr>
          <w:p>
            <w:pPr>
              <w:spacing w:line="300" w:lineRule="auto" w:before="40" w:after="40"/>
            </w:pPr>
            <w:r>
              <w:rPr>
                <w:rFonts w:ascii="Times New Roman" w:hAnsi="Times New Roman" w:eastAsia="宋体"/>
                <w:b w:val="0"/>
                <w:sz w:val="21"/>
              </w:rPr>
              <w:t>山海两生：沿海偏润泽，山地偏清瘦</w:t>
            </w:r>
          </w:p>
        </w:tc>
        <w:tc>
          <w:tcPr>
            <w:tcW w:type="dxa" w:w="2770"/>
          </w:tcPr>
          <w:p>
            <w:pPr>
              <w:spacing w:line="300" w:lineRule="auto" w:before="40" w:after="40"/>
            </w:pPr>
            <w:r>
              <w:rPr>
                <w:rFonts w:ascii="Times New Roman" w:hAnsi="Times New Roman" w:eastAsia="宋体"/>
                <w:b w:val="0"/>
                <w:sz w:val="21"/>
              </w:rPr>
              <w:t>民系地理[21][23][24]</w:t>
            </w:r>
          </w:p>
        </w:tc>
      </w:tr>
      <w:tr>
        <w:tc>
          <w:tcPr>
            <w:tcW w:type="dxa" w:w="2770"/>
          </w:tcPr>
          <w:p>
            <w:pPr>
              <w:spacing w:line="300" w:lineRule="auto" w:before="40" w:after="40"/>
            </w:pPr>
            <w:r>
              <w:rPr>
                <w:rFonts w:ascii="Times New Roman" w:hAnsi="Times New Roman" w:eastAsia="宋体"/>
                <w:b w:val="0"/>
                <w:sz w:val="21"/>
              </w:rPr>
              <w:t>香气</w:t>
            </w:r>
          </w:p>
        </w:tc>
        <w:tc>
          <w:tcPr>
            <w:tcW w:type="dxa" w:w="2770"/>
          </w:tcPr>
          <w:p>
            <w:pPr>
              <w:spacing w:line="300" w:lineRule="auto" w:before="40" w:after="40"/>
            </w:pPr>
            <w:r>
              <w:rPr>
                <w:rFonts w:ascii="Times New Roman" w:hAnsi="Times New Roman" w:eastAsia="宋体"/>
                <w:b w:val="0"/>
                <w:sz w:val="21"/>
              </w:rPr>
              <w:t>以海之鲜咸为前调，以山清为底</w:t>
            </w:r>
          </w:p>
        </w:tc>
        <w:tc>
          <w:tcPr>
            <w:tcW w:type="dxa" w:w="2770"/>
          </w:tcPr>
          <w:p>
            <w:pPr>
              <w:spacing w:line="300" w:lineRule="auto" w:before="40" w:after="40"/>
            </w:pPr>
            <w:r>
              <w:rPr>
                <w:rFonts w:ascii="Times New Roman" w:hAnsi="Times New Roman" w:eastAsia="宋体"/>
                <w:b w:val="0"/>
                <w:sz w:val="21"/>
              </w:rPr>
              <w:t>鱼露与山珍[12][18]</w:t>
            </w:r>
          </w:p>
        </w:tc>
      </w:tr>
      <w:tr>
        <w:tc>
          <w:tcPr>
            <w:tcW w:type="dxa" w:w="2770"/>
          </w:tcPr>
          <w:p>
            <w:pPr>
              <w:spacing w:line="300" w:lineRule="auto" w:before="40" w:after="40"/>
            </w:pPr>
            <w:r>
              <w:rPr>
                <w:rFonts w:ascii="Times New Roman" w:hAnsi="Times New Roman" w:eastAsia="宋体"/>
                <w:b w:val="0"/>
                <w:sz w:val="21"/>
              </w:rPr>
              <w:t>风味</w:t>
            </w:r>
          </w:p>
        </w:tc>
        <w:tc>
          <w:tcPr>
            <w:tcW w:type="dxa" w:w="2770"/>
          </w:tcPr>
          <w:p>
            <w:pPr>
              <w:spacing w:line="300" w:lineRule="auto" w:before="40" w:after="40"/>
            </w:pPr>
            <w:r>
              <w:rPr>
                <w:rFonts w:ascii="Times New Roman" w:hAnsi="Times New Roman" w:eastAsia="宋体"/>
                <w:b w:val="0"/>
                <w:sz w:val="21"/>
              </w:rPr>
              <w:t>鲜味主导，清鲜与浓鲜两翼</w:t>
            </w:r>
          </w:p>
        </w:tc>
        <w:tc>
          <w:tcPr>
            <w:tcW w:type="dxa" w:w="2770"/>
          </w:tcPr>
          <w:p>
            <w:pPr>
              <w:spacing w:line="300" w:lineRule="auto" w:before="40" w:after="40"/>
            </w:pPr>
            <w:r>
              <w:rPr>
                <w:rFonts w:ascii="Times New Roman" w:hAnsi="Times New Roman" w:eastAsia="宋体"/>
                <w:b w:val="0"/>
                <w:sz w:val="21"/>
              </w:rPr>
              <w:t>命题Ⅰ[19][12][16]</w:t>
            </w:r>
          </w:p>
        </w:tc>
      </w:tr>
      <w:tr>
        <w:tc>
          <w:tcPr>
            <w:tcW w:type="dxa" w:w="2770"/>
          </w:tcPr>
          <w:p>
            <w:pPr>
              <w:spacing w:line="300" w:lineRule="auto" w:before="40" w:after="40"/>
            </w:pPr>
            <w:r>
              <w:rPr>
                <w:rFonts w:ascii="Times New Roman" w:hAnsi="Times New Roman" w:eastAsia="宋体"/>
                <w:b w:val="0"/>
                <w:sz w:val="21"/>
              </w:rPr>
              <w:t>质构</w:t>
            </w:r>
          </w:p>
        </w:tc>
        <w:tc>
          <w:tcPr>
            <w:tcW w:type="dxa" w:w="2770"/>
          </w:tcPr>
          <w:p>
            <w:pPr>
              <w:spacing w:line="300" w:lineRule="auto" w:before="40" w:after="40"/>
            </w:pPr>
            <w:r>
              <w:rPr>
                <w:rFonts w:ascii="Times New Roman" w:hAnsi="Times New Roman" w:eastAsia="宋体"/>
                <w:b w:val="0"/>
                <w:sz w:val="21"/>
              </w:rPr>
              <w:t>谱系化：韧—弹之间连续过渡</w:t>
            </w:r>
          </w:p>
        </w:tc>
        <w:tc>
          <w:tcPr>
            <w:tcW w:type="dxa" w:w="2770"/>
          </w:tcPr>
          <w:p>
            <w:pPr>
              <w:spacing w:line="300" w:lineRule="auto" w:before="40" w:after="40"/>
            </w:pPr>
            <w:r>
              <w:rPr>
                <w:rFonts w:ascii="Times New Roman" w:hAnsi="Times New Roman" w:eastAsia="宋体"/>
                <w:b w:val="0"/>
                <w:sz w:val="21"/>
              </w:rPr>
              <w:t>命题Ⅱ[4][5][6][7]</w:t>
            </w:r>
          </w:p>
        </w:tc>
      </w:tr>
      <w:tr>
        <w:tc>
          <w:tcPr>
            <w:tcW w:type="dxa" w:w="2770"/>
          </w:tcPr>
          <w:p>
            <w:pPr>
              <w:spacing w:line="300" w:lineRule="auto" w:before="40" w:after="40"/>
            </w:pPr>
            <w:r>
              <w:rPr>
                <w:rFonts w:ascii="Times New Roman" w:hAnsi="Times New Roman" w:eastAsia="宋体"/>
                <w:b w:val="0"/>
                <w:sz w:val="21"/>
              </w:rPr>
              <w:t>多汁性</w:t>
            </w:r>
          </w:p>
        </w:tc>
        <w:tc>
          <w:tcPr>
            <w:tcW w:type="dxa" w:w="2770"/>
          </w:tcPr>
          <w:p>
            <w:pPr>
              <w:spacing w:line="300" w:lineRule="auto" w:before="40" w:after="40"/>
            </w:pPr>
            <w:r>
              <w:rPr>
                <w:rFonts w:ascii="Times New Roman" w:hAnsi="Times New Roman" w:eastAsia="宋体"/>
                <w:b w:val="0"/>
                <w:sz w:val="21"/>
              </w:rPr>
              <w:t>汤感偏高，水相呈递</w:t>
            </w:r>
          </w:p>
        </w:tc>
        <w:tc>
          <w:tcPr>
            <w:tcW w:type="dxa" w:w="2770"/>
          </w:tcPr>
          <w:p>
            <w:pPr>
              <w:spacing w:line="300" w:lineRule="auto" w:before="40" w:after="40"/>
            </w:pPr>
            <w:r>
              <w:rPr>
                <w:rFonts w:ascii="Times New Roman" w:hAnsi="Times New Roman" w:eastAsia="宋体"/>
                <w:b w:val="0"/>
                <w:sz w:val="21"/>
              </w:rPr>
              <w:t>命题Ⅲ[13][16][17]</w:t>
            </w:r>
          </w:p>
        </w:tc>
      </w:tr>
      <w:tr>
        <w:tc>
          <w:tcPr>
            <w:tcW w:type="dxa" w:w="2770"/>
          </w:tcPr>
          <w:p>
            <w:pPr>
              <w:spacing w:line="300" w:lineRule="auto" w:before="40" w:after="40"/>
            </w:pPr>
            <w:r>
              <w:rPr>
                <w:rFonts w:ascii="Times New Roman" w:hAnsi="Times New Roman" w:eastAsia="宋体"/>
                <w:b w:val="0"/>
                <w:sz w:val="21"/>
              </w:rPr>
              <w:t>后味</w:t>
            </w:r>
          </w:p>
        </w:tc>
        <w:tc>
          <w:tcPr>
            <w:tcW w:type="dxa" w:w="2770"/>
          </w:tcPr>
          <w:p>
            <w:pPr>
              <w:spacing w:line="300" w:lineRule="auto" w:before="40" w:after="40"/>
            </w:pPr>
            <w:r>
              <w:rPr>
                <w:rFonts w:ascii="Times New Roman" w:hAnsi="Times New Roman" w:eastAsia="宋体"/>
                <w:b w:val="0"/>
                <w:sz w:val="21"/>
              </w:rPr>
              <w:t>回甘，曲线长</w:t>
            </w:r>
          </w:p>
        </w:tc>
        <w:tc>
          <w:tcPr>
            <w:tcW w:type="dxa" w:w="2770"/>
          </w:tcPr>
          <w:p>
            <w:pPr>
              <w:spacing w:line="300" w:lineRule="auto" w:before="40" w:after="40"/>
            </w:pPr>
            <w:r>
              <w:rPr>
                <w:rFonts w:ascii="Times New Roman" w:hAnsi="Times New Roman" w:eastAsia="宋体"/>
                <w:b w:val="0"/>
                <w:sz w:val="21"/>
              </w:rPr>
              <w:t>命题Ⅳ[18]</w:t>
            </w:r>
          </w:p>
        </w:tc>
      </w:tr>
      <w:tr>
        <w:tc>
          <w:tcPr>
            <w:tcW w:type="dxa" w:w="2770"/>
          </w:tcPr>
          <w:p>
            <w:pPr>
              <w:spacing w:line="300" w:lineRule="auto" w:before="40" w:after="40"/>
            </w:pPr>
            <w:r>
              <w:rPr>
                <w:rFonts w:ascii="Times New Roman" w:hAnsi="Times New Roman" w:eastAsia="宋体"/>
                <w:b w:val="0"/>
                <w:sz w:val="21"/>
              </w:rPr>
              <w:t>整体</w:t>
            </w:r>
          </w:p>
        </w:tc>
        <w:tc>
          <w:tcPr>
            <w:tcW w:type="dxa" w:w="2770"/>
          </w:tcPr>
          <w:p>
            <w:pPr>
              <w:spacing w:line="300" w:lineRule="auto" w:before="40" w:after="40"/>
            </w:pPr>
            <w:r>
              <w:rPr>
                <w:rFonts w:ascii="Times New Roman" w:hAnsi="Times New Roman" w:eastAsia="宋体"/>
                <w:b w:val="0"/>
                <w:sz w:val="21"/>
              </w:rPr>
              <w:t>「一坛山海」：复合、层次、汤统合</w:t>
            </w:r>
          </w:p>
        </w:tc>
        <w:tc>
          <w:tcPr>
            <w:tcW w:type="dxa" w:w="2770"/>
          </w:tcPr>
          <w:p>
            <w:pPr>
              <w:spacing w:line="300" w:lineRule="auto" w:before="40" w:after="40"/>
            </w:pPr>
            <w:r>
              <w:rPr>
                <w:rFonts w:ascii="Times New Roman" w:hAnsi="Times New Roman" w:eastAsia="宋体"/>
                <w:b w:val="0"/>
                <w:sz w:val="21"/>
              </w:rPr>
              <w:t>命题Ⅴ[17][19][20]</w:t>
            </w:r>
          </w:p>
        </w:tc>
      </w:tr>
    </w:tbl>
    <w:p>
      <w:pPr>
        <w:spacing w:after="80"/>
      </w:pPr>
    </w:p>
    <w:p>
      <w:pPr>
        <w:spacing w:line="360" w:lineRule="auto" w:after="60"/>
        <w:ind w:firstLine="480"/>
      </w:pPr>
      <w:r>
        <w:rPr>
          <w:rFonts w:ascii="Times New Roman" w:hAnsi="Times New Roman" w:eastAsia="宋体"/>
          <w:b w:val="0"/>
          <w:sz w:val="24"/>
        </w:rPr>
        <w:t>（表三：假设性感官评价总表。全部数值均为类型学假设，未经且不可实测。）</w:t>
      </w:r>
    </w:p>
    <w:p>
      <w:pPr>
        <w:pStyle w:val="Heading2"/>
        <w:spacing w:before="200" w:after="100"/>
      </w:pPr>
      <w:r>
        <w:rPr>
          <w:rFonts w:ascii="Times New Roman" w:hAnsi="Times New Roman" w:eastAsia="黑体"/>
          <w:b/>
          <w:color w:val="000000"/>
          <w:sz w:val="27"/>
        </w:rPr>
        <w:t>7.2 迷因为什么能成立：善意作为一种结构</w:t>
      </w:r>
    </w:p>
    <w:p>
      <w:pPr>
        <w:spacing w:line="360" w:lineRule="auto" w:after="60"/>
        <w:ind w:firstLine="480"/>
      </w:pPr>
      <w:r>
        <w:rPr>
          <w:rFonts w:ascii="Times New Roman" w:hAnsi="Times New Roman" w:eastAsia="宋体"/>
          <w:b w:val="0"/>
          <w:sz w:val="24"/>
        </w:rPr>
        <w:t>回到本文的出发点。一个「吃」字为什么没有酿成冒犯？三支文献提供了拼图。</w:t>
      </w:r>
    </w:p>
    <w:p>
      <w:pPr>
        <w:spacing w:line="360" w:lineRule="auto" w:after="60"/>
        <w:ind w:firstLine="480"/>
      </w:pPr>
      <w:r>
        <w:rPr>
          <w:rFonts w:ascii="Times New Roman" w:hAnsi="Times New Roman" w:eastAsia="宋体"/>
          <w:b w:val="0"/>
          <w:sz w:val="24"/>
        </w:rPr>
        <w:t>其一，地域刻板印象并不必然是恶意的。熊伟等对「饮食地域刻板印象」的验证与测量表明，这类印象大量以「地方性知识的简写」形式存在，其功能偏向认知捷径而非敌意[31]。其二，风险的界线在固化与污名：李军等对地域形象短视频的研究[32]、宋梦元对污名机制的分析[33]都表明，刻板印象伤人之处在于拒绝修正；而这一迷因的开放性（每个县市都能成为新段子）恰恰是对固化的持续抵抗。其三，也是最重要的：被「吃」的一方是主动的参与者。陈爱梅等指出，青年群体的迷因实践通过符号互动完成身份建构[27]；胡辞典对网络戏仿行为的研究显示，戏仿是网民掌握符号、重新标识自我的基本手段[29]。福建人在这个句式里接住了梗、扩充了梗、甚至替「菜谱」补充了做法——</w:t>
      </w:r>
      <w:r>
        <w:rPr>
          <w:rFonts w:ascii="Times New Roman" w:hAnsi="Times New Roman" w:eastAsia="黑体"/>
          <w:b/>
          <w:sz w:val="24"/>
        </w:rPr>
        <w:t>他们借这句玩笑，把「被凝视」改写成了「共同表演」</w:t>
      </w:r>
      <w:r>
        <w:rPr>
          <w:rFonts w:ascii="Times New Roman" w:hAnsi="Times New Roman" w:eastAsia="宋体"/>
          <w:b w:val="0"/>
          <w:sz w:val="24"/>
        </w:rPr>
        <w:t>。</w:t>
      </w:r>
    </w:p>
    <w:p>
      <w:pPr>
        <w:spacing w:line="360" w:lineRule="auto" w:after="60"/>
        <w:ind w:firstLine="480"/>
      </w:pPr>
      <w:r>
        <w:rPr>
          <w:rFonts w:ascii="Times New Roman" w:hAnsi="Times New Roman" w:eastAsia="宋体"/>
          <w:b w:val="0"/>
          <w:sz w:val="24"/>
        </w:rPr>
        <w:t>由此可提炼这一迷因成立的结构条件：双方共同假定这是玩笑（边界共识），并假定对方接得住（能力共识）。本文的戏仿若有幸成立，同样仰赖这两个共识——</w:t>
      </w:r>
      <w:r>
        <w:rPr>
          <w:rFonts w:ascii="Times New Roman" w:hAnsi="Times New Roman" w:eastAsia="黑体"/>
          <w:b/>
          <w:sz w:val="24"/>
        </w:rPr>
        <w:t>它的每一位读者，都是这份论文不含在参考文献里的共同作者。</w:t>
      </w:r>
    </w:p>
    <w:p>
      <w:pPr>
        <w:pStyle w:val="Heading2"/>
        <w:spacing w:before="200" w:after="100"/>
      </w:pPr>
      <w:r>
        <w:rPr>
          <w:rFonts w:ascii="Times New Roman" w:hAnsi="Times New Roman" w:eastAsia="黑体"/>
          <w:b/>
          <w:color w:val="000000"/>
          <w:sz w:val="27"/>
        </w:rPr>
        <w:t>7.3 局限与伦理宣言</w:t>
      </w:r>
    </w:p>
    <w:p>
      <w:pPr>
        <w:spacing w:line="360" w:lineRule="auto" w:after="60"/>
        <w:ind w:firstLine="480"/>
      </w:pPr>
      <w:r>
        <w:rPr>
          <w:rFonts w:ascii="Times New Roman" w:hAnsi="Times New Roman" w:eastAsia="宋体"/>
          <w:b w:val="0"/>
          <w:sz w:val="24"/>
        </w:rPr>
        <w:t>本文的局限是彻底的：没有采样、没有实验、没有数值；一切「品质结论」都在假设层运行；文献迁移不是实测，谱系图不是数据；本文甚至无法想象一个能够检验自己的实验。若有人以「你这根本没法验证」相责，本文全盘接受——</w:t>
      </w:r>
      <w:r>
        <w:rPr>
          <w:rFonts w:ascii="Times New Roman" w:hAnsi="Times New Roman" w:eastAsia="黑体"/>
          <w:b/>
          <w:sz w:val="24"/>
        </w:rPr>
        <w:t>因为它本来就不是研究，而是一面棱镜</w:t>
      </w:r>
      <w:r>
        <w:rPr>
          <w:rFonts w:ascii="Times New Roman" w:hAnsi="Times New Roman" w:eastAsia="宋体"/>
          <w:b w:val="0"/>
          <w:sz w:val="24"/>
        </w:rPr>
        <w:t>：把玩笑折进去，把它的光谱折出来。</w:t>
      </w:r>
    </w:p>
    <w:p>
      <w:pPr>
        <w:spacing w:line="360" w:lineRule="auto" w:after="60"/>
        <w:ind w:firstLine="480"/>
      </w:pPr>
      <w:r>
        <w:rPr>
          <w:rFonts w:ascii="Times New Roman" w:hAnsi="Times New Roman" w:eastAsia="宋体"/>
          <w:b w:val="0"/>
          <w:sz w:val="24"/>
        </w:rPr>
        <w:t>伦理重述：全文的「鲜」「嫩」「多汁」均在人不可被食用的前提之下的符号学气泡内有效。对这一边界的任何模糊化，本文明确反对。本文全部结论中唯一愿意置于经验层的，只有一条：</w:t>
      </w:r>
    </w:p>
    <w:p>
      <w:pPr>
        <w:spacing w:line="360" w:lineRule="auto" w:after="60"/>
        <w:ind w:firstLine="480"/>
      </w:pPr>
      <w:r>
        <w:rPr>
          <w:rFonts w:ascii="Times New Roman" w:hAnsi="Times New Roman" w:eastAsia="黑体"/>
          <w:b/>
          <w:sz w:val="24"/>
        </w:rPr>
        <w:t>福建人不可以被吃。这一条不设假设、不接受戏仿、不需要论证。</w:t>
      </w:r>
    </w:p>
    <w:p>
      <w:pPr>
        <w:pStyle w:val="Heading2"/>
        <w:spacing w:before="200" w:after="100"/>
      </w:pPr>
      <w:r>
        <w:rPr>
          <w:rFonts w:ascii="Times New Roman" w:hAnsi="Times New Roman" w:eastAsia="黑体"/>
          <w:b/>
          <w:color w:val="000000"/>
          <w:sz w:val="27"/>
        </w:rPr>
        <w:t>7.4 结语</w:t>
      </w:r>
    </w:p>
    <w:p>
      <w:pPr>
        <w:spacing w:line="360" w:lineRule="auto" w:after="60"/>
        <w:ind w:firstLine="480"/>
      </w:pPr>
      <w:r>
        <w:rPr>
          <w:rFonts w:ascii="Times New Roman" w:hAnsi="Times New Roman" w:eastAsia="宋体"/>
          <w:b w:val="0"/>
          <w:sz w:val="24"/>
        </w:rPr>
        <w:t>五命题收敛于同一句话：</w:t>
      </w:r>
      <w:r>
        <w:rPr>
          <w:rFonts w:ascii="Times New Roman" w:hAnsi="Times New Roman" w:eastAsia="黑体"/>
          <w:b/>
          <w:sz w:val="24"/>
        </w:rPr>
        <w:t>若把福建人端上假设的桌案，它会是海的鲜、山的韧、汤的宽、茶的甘，和一坛慢火的合。</w:t>
      </w:r>
    </w:p>
    <w:p>
      <w:pPr>
        <w:spacing w:line="360" w:lineRule="auto" w:after="60"/>
        <w:ind w:firstLine="480"/>
      </w:pPr>
      <w:r>
        <w:rPr>
          <w:rFonts w:ascii="Times New Roman" w:hAnsi="Times New Roman" w:eastAsia="宋体"/>
          <w:b w:val="0"/>
          <w:sz w:val="24"/>
        </w:rPr>
        <w:t>但这份菜单永远停在这里——停在假设的桌案上，停在玩笑被笑纳的那个瞬间里。笑话的好意，从来不在字面，而在它的双方都知道它不是真的。</w:t>
      </w:r>
      <w:r>
        <w:rPr>
          <w:rFonts w:ascii="Times New Roman" w:hAnsi="Times New Roman" w:eastAsia="黑体"/>
          <w:b/>
          <w:sz w:val="24"/>
        </w:rPr>
        <w:t>一个能被玩笑托住的地域，一段能被双方共同讲述的「食物链」，本质上是一封用梗写成的、收件人和寄件人都在其中的家书。</w:t>
      </w:r>
    </w:p>
    <w:p>
      <w:pPr>
        <w:spacing w:line="360" w:lineRule="auto" w:after="60"/>
        <w:ind w:firstLine="480"/>
      </w:pPr>
      <w:r>
        <w:rPr>
          <w:rFonts w:ascii="Times New Roman" w:hAnsi="Times New Roman" w:eastAsia="宋体"/>
          <w:b w:val="0"/>
          <w:sz w:val="24"/>
        </w:rPr>
        <w:t>如果你真的想尝尝本文描述的「鲜、嫩、汤、甘、合」，办法唾手可得：买一张去福州的票，煨一坛佛跳墙。山与海都在那里面，已经同锅一百五十年。它们唯一不需要的，是有人真的把「福建人」当作食材——</w:t>
      </w:r>
      <w:r>
        <w:rPr>
          <w:rFonts w:ascii="Times New Roman" w:hAnsi="Times New Roman" w:eastAsia="黑体"/>
          <w:b/>
          <w:sz w:val="24"/>
        </w:rPr>
        <w:t>因为那个玩笑真正的味道，只在它不被执行的时候才是甜的。</w:t>
      </w:r>
    </w:p>
    <w:p>
      <w:pPr>
        <w:pStyle w:val="Heading1"/>
        <w:spacing w:before="280" w:after="160"/>
      </w:pPr>
      <w:r>
        <w:rPr>
          <w:rFonts w:ascii="Times New Roman" w:hAnsi="Times New Roman" w:eastAsia="黑体"/>
          <w:b/>
          <w:color w:val="000000"/>
          <w:sz w:val="32"/>
        </w:rPr>
        <w:t>参考文献</w:t>
      </w:r>
    </w:p>
    <w:p>
      <w:pPr>
        <w:spacing w:line="360" w:lineRule="auto" w:after="60"/>
        <w:ind w:firstLine="480"/>
      </w:pPr>
      <w:r>
        <w:rPr>
          <w:rFonts w:ascii="Times New Roman" w:hAnsi="Times New Roman" w:eastAsia="宋体"/>
          <w:b w:val="0"/>
          <w:sz w:val="24"/>
        </w:rPr>
        <w:t>[1] 孙江艳,刘义凤,刘磊,等. 食品感官评价的技术手段与应用研究进展[J]. 食品工业科技, 2023, 44(24): 359-366. DOI:10.13386/j.issn1002-0306.2023020097.</w:t>
      </w:r>
    </w:p>
    <w:p>
      <w:pPr>
        <w:spacing w:line="360" w:lineRule="auto" w:after="60"/>
        <w:ind w:firstLine="480"/>
      </w:pPr>
      <w:r>
        <w:rPr>
          <w:rFonts w:ascii="Times New Roman" w:hAnsi="Times New Roman" w:eastAsia="宋体"/>
          <w:b w:val="0"/>
          <w:sz w:val="24"/>
        </w:rPr>
        <w:t>[2] 吴钰涛. 食品感官评价的标准化难点及改进策略[J]. 食品安全导刊, 2025, (2): 176-178. DOI:10.16043/j.cnki.cfs.2025.02.019.</w:t>
      </w:r>
    </w:p>
    <w:p>
      <w:pPr>
        <w:spacing w:line="360" w:lineRule="auto" w:after="60"/>
        <w:ind w:firstLine="480"/>
      </w:pPr>
      <w:r>
        <w:rPr>
          <w:rFonts w:ascii="Times New Roman" w:hAnsi="Times New Roman" w:eastAsia="宋体"/>
          <w:b w:val="0"/>
          <w:sz w:val="24"/>
        </w:rPr>
        <w:t>[3] 刘倩. 老年人口腔加工能力与不同质构食物的咀嚼行为及主观评价研究[D]. 浙江工商大学, 2023. DOI:10.27462/d.cnki.ghzhc.2023.001381.</w:t>
      </w:r>
    </w:p>
    <w:p>
      <w:pPr>
        <w:spacing w:line="360" w:lineRule="auto" w:after="60"/>
        <w:ind w:firstLine="480"/>
      </w:pPr>
      <w:r>
        <w:rPr>
          <w:rFonts w:ascii="Times New Roman" w:hAnsi="Times New Roman" w:eastAsia="宋体"/>
          <w:b w:val="0"/>
          <w:sz w:val="24"/>
        </w:rPr>
        <w:t>[4] 汪洋,王稳航. 肌内结缔组织与肉嫩度的关联机制及相关肉嫩化技术的研究进展[J]. 食品科学, 2021, 42(11): 332-340.</w:t>
      </w:r>
    </w:p>
    <w:p>
      <w:pPr>
        <w:spacing w:line="360" w:lineRule="auto" w:after="60"/>
        <w:ind w:firstLine="480"/>
      </w:pPr>
      <w:r>
        <w:rPr>
          <w:rFonts w:ascii="Times New Roman" w:hAnsi="Times New Roman" w:eastAsia="宋体"/>
          <w:b w:val="0"/>
          <w:sz w:val="24"/>
        </w:rPr>
        <w:t>[5] 张丽,孙宝忠,谢鹏,等. 肌纤维类型与肉嫩度的关系[J]. 食品工业科技, 2014, 35(2): 385-390. DOI:10.13386/j.issn1002-0306.2014.02.068.</w:t>
      </w:r>
    </w:p>
    <w:p>
      <w:pPr>
        <w:spacing w:line="360" w:lineRule="auto" w:after="60"/>
        <w:ind w:firstLine="480"/>
      </w:pPr>
      <w:r>
        <w:rPr>
          <w:rFonts w:ascii="Times New Roman" w:hAnsi="Times New Roman" w:eastAsia="宋体"/>
          <w:b w:val="0"/>
          <w:sz w:val="24"/>
        </w:rPr>
        <w:t>[6] 苗海明,高爱武,杨金丽,等. 动物肌内脂肪沉积对肉嫩度影响的研究进展[J]. 中国农学通报, 2012, 28(11): 51-54.</w:t>
      </w:r>
    </w:p>
    <w:p>
      <w:pPr>
        <w:spacing w:line="360" w:lineRule="auto" w:after="60"/>
        <w:ind w:firstLine="480"/>
      </w:pPr>
      <w:r>
        <w:rPr>
          <w:rFonts w:ascii="Times New Roman" w:hAnsi="Times New Roman" w:eastAsia="宋体"/>
          <w:b w:val="0"/>
          <w:sz w:val="24"/>
        </w:rPr>
        <w:t>[7] 李红梅,张勇. 肉嫩度及其影响因素的研究[J]. 猪业科学, 2009, 26(6): 98-100.</w:t>
      </w:r>
    </w:p>
    <w:p>
      <w:pPr>
        <w:spacing w:line="360" w:lineRule="auto" w:after="60"/>
        <w:ind w:firstLine="480"/>
      </w:pPr>
      <w:r>
        <w:rPr>
          <w:rFonts w:ascii="Times New Roman" w:hAnsi="Times New Roman" w:eastAsia="宋体"/>
          <w:b w:val="0"/>
          <w:sz w:val="24"/>
        </w:rPr>
        <w:t>[8] 杜鹏飞,王维婷,赵舒琪,等. 不同压力炖煮条件对猪肉挥发性风味物质与质构特性的影响[J/OL]. 肉类研究, 1-11[2026-10-16]. https://link.oversea.cnki.net/urlid/11.2682.TS.20260526.1115.002.</w:t>
      </w:r>
    </w:p>
    <w:p>
      <w:pPr>
        <w:spacing w:line="360" w:lineRule="auto" w:after="60"/>
        <w:ind w:firstLine="480"/>
      </w:pPr>
      <w:r>
        <w:rPr>
          <w:rFonts w:ascii="Times New Roman" w:hAnsi="Times New Roman" w:eastAsia="宋体"/>
          <w:b w:val="0"/>
          <w:sz w:val="24"/>
        </w:rPr>
        <w:t>[9] 徐兰梦,巫小倩,张廷焕. 肌内脂肪影响猪肉风味品质的多维机制研究进展[J]. 中国畜牧杂志, 2025, 61(8): 31-37. DOI:10.19556/j.0258-7033.20250614-06.</w:t>
      </w:r>
    </w:p>
    <w:p>
      <w:pPr>
        <w:spacing w:line="360" w:lineRule="auto" w:after="60"/>
        <w:ind w:firstLine="480"/>
      </w:pPr>
      <w:r>
        <w:rPr>
          <w:rFonts w:ascii="Times New Roman" w:hAnsi="Times New Roman" w:eastAsia="宋体"/>
          <w:b w:val="0"/>
          <w:sz w:val="24"/>
        </w:rPr>
        <w:t>[10] 赵钰洁. 脂质及其氧化因子在猪肉挥发性特征风味形成中的作用研究[D]. 中国农业科学院, 2025. DOI:10.27630/d.cnki.gznky.2025.000768.</w:t>
      </w:r>
    </w:p>
    <w:p>
      <w:pPr>
        <w:spacing w:line="360" w:lineRule="auto" w:after="60"/>
        <w:ind w:firstLine="480"/>
      </w:pPr>
      <w:r>
        <w:rPr>
          <w:rFonts w:ascii="Times New Roman" w:hAnsi="Times New Roman" w:eastAsia="宋体"/>
          <w:b w:val="0"/>
          <w:sz w:val="24"/>
        </w:rPr>
        <w:t>[11] 郝蕊,李海花,张凯华,等. 湿法成熟时间对熟制猪肉风味的影响[J]. 肉类研究, 2025, 39(5): 28-35.</w:t>
      </w:r>
    </w:p>
    <w:p>
      <w:pPr>
        <w:spacing w:line="360" w:lineRule="auto" w:after="60"/>
        <w:ind w:firstLine="480"/>
      </w:pPr>
      <w:r>
        <w:rPr>
          <w:rFonts w:ascii="Times New Roman" w:hAnsi="Times New Roman" w:eastAsia="宋体"/>
          <w:b w:val="0"/>
          <w:sz w:val="24"/>
        </w:rPr>
        <w:t>[12] 林诗钧,图力古日. 福建传统鱼露文化研究[J]. 美食研究, 2025, 42(1): 8-13. DOI:10.19913/j.cnki.2095-8730msyj.2025.01.02.</w:t>
      </w:r>
    </w:p>
    <w:p>
      <w:pPr>
        <w:spacing w:line="360" w:lineRule="auto" w:after="60"/>
        <w:ind w:firstLine="480"/>
      </w:pPr>
      <w:r>
        <w:rPr>
          <w:rFonts w:ascii="Times New Roman" w:hAnsi="Times New Roman" w:eastAsia="宋体"/>
          <w:b w:val="0"/>
          <w:sz w:val="24"/>
        </w:rPr>
        <w:t>[13] 林慧彬. 谈莆仙地区的“炝”食[J]. 福建史志, 2022, (4): 60-64+72.</w:t>
      </w:r>
    </w:p>
    <w:p>
      <w:pPr>
        <w:spacing w:line="360" w:lineRule="auto" w:after="60"/>
        <w:ind w:firstLine="480"/>
      </w:pPr>
      <w:r>
        <w:rPr>
          <w:rFonts w:ascii="Times New Roman" w:hAnsi="Times New Roman" w:eastAsia="宋体"/>
          <w:b w:val="0"/>
          <w:sz w:val="24"/>
        </w:rPr>
        <w:t>[14] 成健. 文化人与福建菜[J]. 同舟共进, 2020, (11): 68-72. DOI:10.19417/j.cnki.tzgj.2020.11.016.</w:t>
      </w:r>
    </w:p>
    <w:p>
      <w:pPr>
        <w:spacing w:line="360" w:lineRule="auto" w:after="60"/>
        <w:ind w:firstLine="480"/>
      </w:pPr>
      <w:r>
        <w:rPr>
          <w:rFonts w:ascii="Times New Roman" w:hAnsi="Times New Roman" w:eastAsia="宋体"/>
          <w:b w:val="0"/>
          <w:sz w:val="24"/>
        </w:rPr>
        <w:t>[15] 袁红飞,王百龙,王成刚,等. 中式菜肴的工业化研究进展——以闽菜的工业化发展为例[J]. 保鲜与加工, 2020, 20(5): 218-224.</w:t>
      </w:r>
    </w:p>
    <w:p>
      <w:pPr>
        <w:spacing w:line="360" w:lineRule="auto" w:after="60"/>
        <w:ind w:firstLine="480"/>
      </w:pPr>
      <w:r>
        <w:rPr>
          <w:rFonts w:ascii="Times New Roman" w:hAnsi="Times New Roman" w:eastAsia="宋体"/>
          <w:b w:val="0"/>
          <w:sz w:val="24"/>
        </w:rPr>
        <w:t>[16] 杨炯,王云. “无汤不行”话闽菜[J]. 中老年保健, 2012, (11): 26-27.</w:t>
      </w:r>
    </w:p>
    <w:p>
      <w:pPr>
        <w:spacing w:line="360" w:lineRule="auto" w:after="60"/>
        <w:ind w:firstLine="480"/>
      </w:pPr>
      <w:r>
        <w:rPr>
          <w:rFonts w:ascii="Times New Roman" w:hAnsi="Times New Roman" w:eastAsia="宋体"/>
          <w:b w:val="0"/>
          <w:sz w:val="24"/>
        </w:rPr>
        <w:t>[17] 吴先辉. 闽菜的研究[D]. 福建农林大学, 2008.</w:t>
      </w:r>
    </w:p>
    <w:p>
      <w:pPr>
        <w:spacing w:line="360" w:lineRule="auto" w:after="60"/>
        <w:ind w:firstLine="480"/>
      </w:pPr>
      <w:r>
        <w:rPr>
          <w:rFonts w:ascii="Times New Roman" w:hAnsi="Times New Roman" w:eastAsia="宋体"/>
          <w:b w:val="0"/>
          <w:sz w:val="24"/>
        </w:rPr>
        <w:t>[18] 福建的饮食文化[J]. 农业工程技术(农产品加工业), 2013, (23): 77-78.</w:t>
      </w:r>
    </w:p>
    <w:p>
      <w:pPr>
        <w:spacing w:line="360" w:lineRule="auto" w:after="60"/>
        <w:ind w:firstLine="480"/>
      </w:pPr>
      <w:r>
        <w:rPr>
          <w:rFonts w:ascii="Times New Roman" w:hAnsi="Times New Roman" w:eastAsia="宋体"/>
          <w:b w:val="0"/>
          <w:sz w:val="24"/>
        </w:rPr>
        <w:t>[19] 王育洁,黄晓星. 《御膳本草》烹调方式考论——以琉球王国对闽菜文化的吸收为中心[J]. 福建史志, 2026, (3): 78-90+92.</w:t>
      </w:r>
    </w:p>
    <w:p>
      <w:pPr>
        <w:spacing w:line="360" w:lineRule="auto" w:after="60"/>
        <w:ind w:firstLine="480"/>
      </w:pPr>
      <w:r>
        <w:rPr>
          <w:rFonts w:ascii="Times New Roman" w:hAnsi="Times New Roman" w:eastAsia="宋体"/>
          <w:b w:val="0"/>
          <w:sz w:val="24"/>
        </w:rPr>
        <w:t>[20] 匡济. “佛跳墙”之谜[J]. 读者欣赏, 2026, (1): 130-133.</w:t>
      </w:r>
    </w:p>
    <w:p>
      <w:pPr>
        <w:spacing w:line="360" w:lineRule="auto" w:after="60"/>
        <w:ind w:firstLine="480"/>
      </w:pPr>
      <w:r>
        <w:rPr>
          <w:rFonts w:ascii="Times New Roman" w:hAnsi="Times New Roman" w:eastAsia="宋体"/>
          <w:b w:val="0"/>
          <w:sz w:val="24"/>
        </w:rPr>
        <w:t>[21] 谢重光. 汉越蛮交融、汀江流域开发与福建客家的形成[J]. 海峡人文学刊, 2025, 5(3): 92-104+157-158.</w:t>
      </w:r>
    </w:p>
    <w:p>
      <w:pPr>
        <w:spacing w:line="360" w:lineRule="auto" w:after="60"/>
        <w:ind w:firstLine="480"/>
      </w:pPr>
      <w:r>
        <w:rPr>
          <w:rFonts w:ascii="Times New Roman" w:hAnsi="Times New Roman" w:eastAsia="宋体"/>
          <w:b w:val="0"/>
          <w:sz w:val="24"/>
        </w:rPr>
        <w:t>[22] 宁威. 作为文化中介的“河洛郎”——论河洛中原文化对闽南文化的初肇与闽南“河洛风存”[J]. 华夏传播研究, 2024, (2): 190-210.</w:t>
      </w:r>
    </w:p>
    <w:p>
      <w:pPr>
        <w:spacing w:line="360" w:lineRule="auto" w:after="60"/>
        <w:ind w:firstLine="480"/>
      </w:pPr>
      <w:r>
        <w:rPr>
          <w:rFonts w:ascii="Times New Roman" w:hAnsi="Times New Roman" w:eastAsia="宋体"/>
          <w:b w:val="0"/>
          <w:sz w:val="24"/>
        </w:rPr>
        <w:t>[23] 吴青宝,王量量,戴志坚. 福建传统聚落形态类型与民系区际过渡关系研究——以闽江流域闽北与闽中民系为例[C]// 天津大学. 聚落—民居整体性研究与可持续发展——第三十届中国民居建筑学术年会论文集（上卷）. [出版者不详], 2025: 494-501.</w:t>
      </w:r>
    </w:p>
    <w:p>
      <w:pPr>
        <w:spacing w:line="360" w:lineRule="auto" w:after="60"/>
        <w:ind w:firstLine="480"/>
      </w:pPr>
      <w:r>
        <w:rPr>
          <w:rFonts w:ascii="Times New Roman" w:hAnsi="Times New Roman" w:eastAsia="宋体"/>
          <w:b w:val="0"/>
          <w:sz w:val="24"/>
        </w:rPr>
        <w:t>[24] 陈莹. 闽东闽南沿海石厝民居审美文化研究[D]. 福建理工大学, 2025. DOI:10.27865/d.cnki.gfgxy.2025.000613.</w:t>
      </w:r>
    </w:p>
    <w:p>
      <w:pPr>
        <w:spacing w:line="360" w:lineRule="auto" w:after="60"/>
        <w:ind w:firstLine="480"/>
      </w:pPr>
      <w:r>
        <w:rPr>
          <w:rFonts w:ascii="Times New Roman" w:hAnsi="Times New Roman" w:eastAsia="宋体"/>
          <w:b w:val="0"/>
          <w:sz w:val="24"/>
        </w:rPr>
        <w:t>[25] 王璐瑶. 网络迷因传播机制及双重社会功能考察[J]. 融媒时代, 2026, (8): 34-35.</w:t>
      </w:r>
    </w:p>
    <w:p>
      <w:pPr>
        <w:spacing w:line="360" w:lineRule="auto" w:after="60"/>
        <w:ind w:firstLine="480"/>
      </w:pPr>
      <w:r>
        <w:rPr>
          <w:rFonts w:ascii="Times New Roman" w:hAnsi="Times New Roman" w:eastAsia="宋体"/>
          <w:b w:val="0"/>
          <w:sz w:val="24"/>
        </w:rPr>
        <w:t>[26] 田超群. 网络迷因符号的功能衍变与传播研究[J]. 新媒体研究, 2026, 12(6): 104-107+112. DOI:10.16604/j.cnki.issn2096-0360.2026.06.007.</w:t>
      </w:r>
    </w:p>
    <w:p>
      <w:pPr>
        <w:spacing w:line="360" w:lineRule="auto" w:after="60"/>
        <w:ind w:firstLine="480"/>
      </w:pPr>
      <w:r>
        <w:rPr>
          <w:rFonts w:ascii="Times New Roman" w:hAnsi="Times New Roman" w:eastAsia="宋体"/>
          <w:b w:val="0"/>
          <w:sz w:val="24"/>
        </w:rPr>
        <w:t>[27] 陈爱梅,张璐璐,舒乐. 戏谑、抵抗与反思：青年“X学”迷因的符号互动与身份建构研究[J]. 中国青年研究, 2026, (3): 15-23+117. DOI:10.19633/j.cnki.11-2579/d.2026.0033.</w:t>
      </w:r>
    </w:p>
    <w:p>
      <w:pPr>
        <w:spacing w:line="360" w:lineRule="auto" w:after="60"/>
        <w:ind w:firstLine="480"/>
      </w:pPr>
      <w:r>
        <w:rPr>
          <w:rFonts w:ascii="Times New Roman" w:hAnsi="Times New Roman" w:eastAsia="宋体"/>
          <w:b w:val="0"/>
          <w:sz w:val="24"/>
        </w:rPr>
        <w:t>[28] 杜佳歆. 迷因理论视角下网络热梗的传播研究——以“city不city”为例[J]. 声屏世界, 2025, (22): 108-110.</w:t>
      </w:r>
    </w:p>
    <w:p>
      <w:pPr>
        <w:spacing w:line="360" w:lineRule="auto" w:after="60"/>
        <w:ind w:firstLine="480"/>
      </w:pPr>
      <w:r>
        <w:rPr>
          <w:rFonts w:ascii="Times New Roman" w:hAnsi="Times New Roman" w:eastAsia="宋体"/>
          <w:b w:val="0"/>
          <w:sz w:val="24"/>
        </w:rPr>
        <w:t>[29] 胡辞典. 小红书平台青年群体网络戏仿行为研究——以“业主群闹事专用头像”事件为例[D]. 东北财经大学, 2025. DOI:10.27006/d.cnki.gdbcu.2025.000503.</w:t>
      </w:r>
    </w:p>
    <w:p>
      <w:pPr>
        <w:spacing w:line="360" w:lineRule="auto" w:after="60"/>
        <w:ind w:firstLine="480"/>
      </w:pPr>
      <w:r>
        <w:rPr>
          <w:rFonts w:ascii="Times New Roman" w:hAnsi="Times New Roman" w:eastAsia="宋体"/>
          <w:b w:val="0"/>
          <w:sz w:val="24"/>
        </w:rPr>
        <w:t>[30] 张梦然. “乳法”迷因的网络民族主义表达[D]. 上海外国语大学, 2025. DOI:10.27316/d.cnki.gswyu.2025.001481.</w:t>
      </w:r>
    </w:p>
    <w:p>
      <w:pPr>
        <w:spacing w:line="360" w:lineRule="auto" w:after="60"/>
        <w:ind w:firstLine="480"/>
      </w:pPr>
      <w:r>
        <w:rPr>
          <w:rFonts w:ascii="Times New Roman" w:hAnsi="Times New Roman" w:eastAsia="宋体"/>
          <w:b w:val="0"/>
          <w:sz w:val="24"/>
        </w:rPr>
        <w:t>[31] 熊伟,黄媚娇,钟诗瑶,等. 表征与非表征视角下饮食地域刻板印象的验证与测量[J]. 地理科学, 2024, 44(5): 883-889. DOI:10.13249/j.cnki.sgs.20230250.</w:t>
      </w:r>
    </w:p>
    <w:p>
      <w:pPr>
        <w:spacing w:line="360" w:lineRule="auto" w:after="60"/>
        <w:ind w:firstLine="480"/>
      </w:pPr>
      <w:r>
        <w:rPr>
          <w:rFonts w:ascii="Times New Roman" w:hAnsi="Times New Roman" w:eastAsia="宋体"/>
          <w:b w:val="0"/>
          <w:sz w:val="24"/>
        </w:rPr>
        <w:t>[32] 李军,赵子璇,李馥彤. 文化交流与刻板印象——“东北女性”题材短视频的网络环境及地域形象研究[J]. 文化学刊, 2024, (7): 86-89.</w:t>
      </w:r>
    </w:p>
    <w:p>
      <w:pPr>
        <w:spacing w:line="360" w:lineRule="auto" w:after="60"/>
        <w:ind w:firstLine="480"/>
      </w:pPr>
      <w:r>
        <w:rPr>
          <w:rFonts w:ascii="Times New Roman" w:hAnsi="Times New Roman" w:eastAsia="宋体"/>
          <w:b w:val="0"/>
          <w:sz w:val="24"/>
        </w:rPr>
        <w:t>[33] 宋梦元. 基于污名视角探究地域刻板印象的形成因素[J]. 现代交际, 2020, (8): 250-251.</w:t>
      </w:r>
    </w:p>
    <w:p>
      <w:pPr>
        <w:spacing w:line="360" w:lineRule="auto" w:after="60"/>
        <w:ind w:firstLine="480"/>
      </w:pPr>
      <w:r>
        <w:rPr>
          <w:rFonts w:ascii="Times New Roman" w:hAnsi="Times New Roman" w:eastAsia="黑体"/>
          <w:b/>
          <w:sz w:val="24"/>
        </w:rPr>
        <w:t>附记（写作声明）</w:t>
      </w:r>
      <w:r>
        <w:rPr>
          <w:rFonts w:ascii="Times New Roman" w:hAnsi="Times New Roman" w:eastAsia="宋体"/>
          <w:b w:val="0"/>
          <w:sz w:val="24"/>
        </w:rPr>
        <w:t>：本文为学术戏仿作品。文中全部科学结论与文献均真实可查（卷期页码经知网标准引文导出系统核对）；虚构的只有这一件事——把「福建人」放上感官评价的实验台。文中所有「假设」「推论」「结构类比」标注处，均系作者自认的薄弱环节，特此明示，供批评者优先攻击。</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666666"/>
        <w:sz w:val="18"/>
      </w:rPr>
      <w:t xml:space="preserve">第  </w:t>
    </w:r>
    <w:r>
      <w:rPr>
        <w:rFonts w:ascii="Times New Roman" w:hAnsi="Times New Roman" w:eastAsia="宋体"/>
        <w:color w:val="666666"/>
        <w:sz w:val="18"/>
      </w:rPr>
      <w:fldChar w:fldCharType="begin"/>
      <w:instrText xml:space="preserve"> PAGE </w:instrText>
      <w:fldChar w:fldCharType="separate"/>
      <w:t>1</w:t>
      <w:fldChar w:fldCharType="end"/>
    </w:r>
    <w:r>
      <w:rPr>
        <w:rFonts w:ascii="Times New Roman" w:hAnsi="Times New Roman" w:eastAsia="宋体"/>
        <w:color w:val="666666"/>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福建人的口感</dc:title>
  <dc:subject>从「广东人吃福建人」到一份假设性感官评鉴的五命题研究</dc:subject>
  <dc:creator>Proma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