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1B3A6B"/>
          <w:sz w:val="36"/>
          <w:szCs w:val="36"/>
        </w:rPr>
        <w:t xml:space="preserve">GUION AUDIOVISUAL</w:t>
      </w:r>
    </w:p>
    <w:p>
      <w:pPr>
        <w:spacing w:after="80"/>
      </w:pPr>
      <w:r>
        <w:rPr>
          <w:rFonts w:ascii="Arial" w:cs="Arial" w:eastAsia="Arial" w:hAnsi="Arial"/>
          <w:b w:val="false"/>
          <w:bCs w:val="false"/>
          <w:color w:val="2E75B6"/>
          <w:sz w:val="26"/>
          <w:szCs w:val="26"/>
        </w:rPr>
        <w:t xml:space="preserve">Digitalización y Posicionamiento en el Mercado de Restaurantes Mediterráneos en Bogotá</w:t>
      </w:r>
    </w:p>
    <w:p>
      <w:pPr>
        <w:spacing w:after="80"/>
      </w:pPr>
      <w:r>
        <w:rPr>
          <w:rFonts w:ascii="Arial" w:cs="Arial" w:eastAsia="Arial" w:hAnsi="Arial"/>
          <w:i/>
          <w:iCs/>
          <w:color w:val="666666"/>
          <w:sz w:val="20"/>
          <w:szCs w:val="20"/>
        </w:rPr>
        <w:t xml:space="preserve">Haciendo Economía 2026-1  ·  Universidad del Rosario  ·  Formato: presentación profesional / informe ejecutivo</w:t>
      </w:r>
    </w:p>
    <w:p>
      <w:pPr>
        <w:pBdr>
          <w:bottom w:val="single" w:color="1B3A6B" w:sz="12" w:space="6"/>
        </w:pBdr>
        <w:spacing w:after="40"/>
      </w:pPr>
      <w:r>
        <w:rPr>
          <w:rFonts w:ascii="Arial" w:cs="Arial" w:eastAsia="Arial" w:hAnsi="Arial"/>
          <w:b/>
          <w:bCs/>
          <w:color w:val="1B3A6B"/>
          <w:sz w:val="20"/>
          <w:szCs w:val="20"/>
        </w:rPr>
        <w:t xml:space="preserve">Duración estimada: 6 min 10 seg  ·  Audiencia: evaluadores académicos</w:t>
      </w:r>
    </w:p>
    <w:p>
      <w:pPr>
        <w:spacing w:after="200"/>
      </w:pPr>
    </w:p>
    <w:p>
      <w:pPr>
        <w:pBdr>
          <w:bottom w:val="single" w:color="2E75B6" w:sz="8" w:space="4"/>
        </w:pBdr>
        <w:spacing w:after="160" w:before="360"/>
      </w:pPr>
      <w:r>
        <w:rPr>
          <w:rFonts w:ascii="Arial" w:cs="Arial" w:eastAsia="Arial" w:hAnsi="Arial"/>
          <w:b/>
          <w:bCs/>
          <w:color w:val="1B3A6B"/>
          <w:sz w:val="28"/>
          <w:szCs w:val="28"/>
        </w:rPr>
        <w:t xml:space="preserve">Instrucciones de uso del guion</w:t>
      </w:r>
    </w:p>
    <w:p>
      <w:pPr>
        <w:spacing w:after="80"/>
      </w:pPr>
      <w:r>
        <w:rPr>
          <w:rFonts w:ascii="Arial" w:cs="Arial" w:eastAsia="Arial" w:hAnsi="Arial"/>
          <w:color w:val="1A1A1A"/>
          <w:sz w:val="20"/>
          <w:szCs w:val="20"/>
        </w:rPr>
        <w:t xml:space="preserve">Este guion está listo para producción. Los campos marcados en </w:t>
      </w:r>
      <w:r>
        <w:rPr>
          <w:rFonts w:ascii="Arial" w:cs="Arial" w:eastAsia="Arial" w:hAnsi="Arial"/>
          <w:b/>
          <w:bCs/>
          <w:color w:val="B22222"/>
          <w:sz w:val="20"/>
          <w:szCs w:val="20"/>
        </w:rPr>
        <w:t xml:space="preserve">[DATO] color rojo</w:t>
      </w:r>
      <w:r>
        <w:rPr>
          <w:rFonts w:ascii="Arial" w:cs="Arial" w:eastAsia="Arial" w:hAnsi="Arial"/>
          <w:color w:val="1A1A1A"/>
          <w:sz w:val="20"/>
          <w:szCs w:val="20"/>
        </w:rPr>
        <w:t xml:space="preserve"> deben reemplazarse con los valores reales del análisis estadístico antes de grabar la narración o montar las visualizaciones.</w:t>
      </w:r>
    </w:p>
    <w:p>
      <w:pPr>
        <w:spacing w:after="80"/>
      </w:pPr>
      <w:r>
        <w:rPr>
          <w:rFonts w:ascii="Arial" w:cs="Arial" w:eastAsia="Arial" w:hAnsi="Arial"/>
          <w:b/>
          <w:bCs/>
          <w:color w:val="1B3A6B"/>
          <w:sz w:val="20"/>
          <w:szCs w:val="20"/>
        </w:rPr>
        <w:t xml:space="preserve">Cada escena incluye cuatro campos:</w:t>
      </w:r>
    </w:p>
    <w:p>
      <w:pPr>
        <w:spacing w:after="40"/>
      </w:pPr>
      <w:r>
        <w:rPr>
          <w:rFonts w:ascii="Arial" w:cs="Arial" w:eastAsia="Arial" w:hAnsi="Arial"/>
          <w:b/>
          <w:bCs/>
          <w:color w:val="C9A84C"/>
          <w:sz w:val="20"/>
          <w:szCs w:val="20"/>
        </w:rPr>
        <w:t xml:space="preserve">Narración  </w:t>
      </w:r>
      <w:r>
        <w:rPr>
          <w:rFonts w:ascii="Arial" w:cs="Arial" w:eastAsia="Arial" w:hAnsi="Arial"/>
          <w:color w:val="1A1A1A"/>
          <w:sz w:val="20"/>
          <w:szCs w:val="20"/>
        </w:rPr>
        <w:t xml:space="preserve">Texto hablado por el narrador (voz en off o presentador).</w:t>
      </w:r>
    </w:p>
    <w:p>
      <w:pPr>
        <w:spacing w:after="40"/>
      </w:pPr>
      <w:r>
        <w:rPr>
          <w:rFonts w:ascii="Arial" w:cs="Arial" w:eastAsia="Arial" w:hAnsi="Arial"/>
          <w:b/>
          <w:bCs/>
          <w:color w:val="C9A84C"/>
          <w:sz w:val="20"/>
          <w:szCs w:val="20"/>
        </w:rPr>
        <w:t xml:space="preserve">Visual en pantalla  </w:t>
      </w:r>
      <w:r>
        <w:rPr>
          <w:rFonts w:ascii="Arial" w:cs="Arial" w:eastAsia="Arial" w:hAnsi="Arial"/>
          <w:color w:val="1A1A1A"/>
          <w:sz w:val="20"/>
          <w:szCs w:val="20"/>
        </w:rPr>
        <w:t xml:space="preserve">Descripción detallada de lo que aparece visualmente en cada momento.</w:t>
      </w:r>
    </w:p>
    <w:p>
      <w:pPr>
        <w:spacing w:after="40"/>
      </w:pPr>
      <w:r>
        <w:rPr>
          <w:rFonts w:ascii="Arial" w:cs="Arial" w:eastAsia="Arial" w:hAnsi="Arial"/>
          <w:b/>
          <w:bCs/>
          <w:color w:val="C9A84C"/>
          <w:sz w:val="20"/>
          <w:szCs w:val="20"/>
        </w:rPr>
        <w:t xml:space="preserve">Tipo de recurso  </w:t>
      </w:r>
      <w:r>
        <w:rPr>
          <w:rFonts w:ascii="Arial" w:cs="Arial" w:eastAsia="Arial" w:hAnsi="Arial"/>
          <w:color w:val="1A1A1A"/>
          <w:sz w:val="20"/>
          <w:szCs w:val="20"/>
        </w:rPr>
        <w:t xml:space="preserve">Formato del elemento visual (gráfico, animación, captura, etc.).</w:t>
      </w:r>
    </w:p>
    <w:p>
      <w:pPr>
        <w:spacing w:after="160"/>
      </w:pPr>
      <w:r>
        <w:rPr>
          <w:rFonts w:ascii="Arial" w:cs="Arial" w:eastAsia="Arial" w:hAnsi="Arial"/>
          <w:b/>
          <w:bCs/>
          <w:color w:val="C9A84C"/>
          <w:sz w:val="20"/>
          <w:szCs w:val="20"/>
        </w:rPr>
        <w:t xml:space="preserve">Notas de dirección  </w:t>
      </w:r>
      <w:r>
        <w:rPr>
          <w:rFonts w:ascii="Arial" w:cs="Arial" w:eastAsia="Arial" w:hAnsi="Arial"/>
          <w:color w:val="1A1A1A"/>
          <w:sz w:val="20"/>
          <w:szCs w:val="20"/>
        </w:rPr>
        <w:t xml:space="preserve">Indicaciones de ritmo, énfasis, música y montaje para el editor/director.</w:t>
      </w:r>
    </w:p>
    <w:p>
      <w:pPr>
        <w:spacing w:after="200"/>
      </w:pPr>
    </w:p>
    <w:p>
      <w:pPr>
        <w:pBdr>
          <w:bottom w:val="single" w:color="2E75B6" w:sz="8" w:space="4"/>
        </w:pBdr>
        <w:spacing w:after="160" w:before="360"/>
      </w:pPr>
      <w:r>
        <w:rPr>
          <w:rFonts w:ascii="Arial" w:cs="Arial" w:eastAsia="Arial" w:hAnsi="Arial"/>
          <w:b/>
          <w:bCs/>
          <w:color w:val="1B3A6B"/>
          <w:sz w:val="28"/>
          <w:szCs w:val="28"/>
        </w:rPr>
        <w:t xml:space="preserve">Estructura del video — Mapa de escenas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6960"/>
      </w:tblGrid>
      <w:tr>
        <w:tc>
          <w:tcPr>
            <w:tcW w:type="dxa" w:w="1000"/>
            <w:tcBorders>
              <w:top w:val="single" w:color="C8D3E8" w:sz="1"/>
              <w:left w:val="single" w:color="C8D3E8" w:sz="1"/>
              <w:bottom w:val="single" w:color="C8D3E8" w:sz="1"/>
              <w:right w:val="single" w:color="C8D3E8"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Escena</w:t>
            </w:r>
          </w:p>
        </w:tc>
        <w:tc>
          <w:tcPr>
            <w:tcW w:type="dxa" w:w="1400"/>
            <w:tcBorders>
              <w:top w:val="single" w:color="C8D3E8" w:sz="1"/>
              <w:left w:val="single" w:color="C8D3E8" w:sz="1"/>
              <w:bottom w:val="single" w:color="C8D3E8" w:sz="1"/>
              <w:right w:val="single" w:color="C8D3E8"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Tiempo</w:t>
            </w:r>
          </w:p>
        </w:tc>
        <w:tc>
          <w:tcPr>
            <w:tcW w:type="dxa" w:w="6960"/>
            <w:tcBorders>
              <w:top w:val="single" w:color="C8D3E8" w:sz="1"/>
              <w:left w:val="single" w:color="C8D3E8" w:sz="1"/>
              <w:bottom w:val="single" w:color="C8D3E8" w:sz="1"/>
              <w:right w:val="single" w:color="C8D3E8"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Contenido</w:t>
            </w:r>
          </w:p>
        </w:tc>
      </w:tr>
      <w:tr>
        <w:tc>
          <w:tcPr>
            <w:tcW w:type="dxa" w:w="10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1</w:t>
            </w:r>
          </w:p>
        </w:tc>
        <w:tc>
          <w:tcPr>
            <w:tcW w:type="dxa" w:w="14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2E75B6"/>
                <w:sz w:val="20"/>
                <w:szCs w:val="20"/>
              </w:rPr>
              <w:t xml:space="preserve">0:00–0:30</w:t>
            </w:r>
          </w:p>
        </w:tc>
        <w:tc>
          <w:tcPr>
            <w:tcW w:type="dxa" w:w="696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1A1A1A"/>
                <w:sz w:val="20"/>
                <w:szCs w:val="20"/>
              </w:rPr>
              <w:t xml:space="preserve">Hook de apertura — pregunta gancho y título del proyecto</w:t>
            </w:r>
          </w:p>
        </w:tc>
      </w:tr>
      <w:tr>
        <w:tc>
          <w:tcPr>
            <w:tcW w:type="dxa" w:w="100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2</w:t>
            </w:r>
          </w:p>
        </w:tc>
        <w:tc>
          <w:tcPr>
            <w:tcW w:type="dxa" w:w="140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r>
              <w:rPr>
                <w:rFonts w:ascii="Arial" w:cs="Arial" w:eastAsia="Arial" w:hAnsi="Arial"/>
                <w:color w:val="2E75B6"/>
                <w:sz w:val="20"/>
                <w:szCs w:val="20"/>
              </w:rPr>
              <w:t xml:space="preserve">0:30–1:15</w:t>
            </w:r>
          </w:p>
        </w:tc>
        <w:tc>
          <w:tcPr>
            <w:tcW w:type="dxa" w:w="696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Motivación y contexto del mercado gastronómico digital en Bogotá</w:t>
            </w:r>
          </w:p>
        </w:tc>
      </w:tr>
      <w:tr>
        <w:tc>
          <w:tcPr>
            <w:tcW w:type="dxa" w:w="10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3</w:t>
            </w:r>
          </w:p>
        </w:tc>
        <w:tc>
          <w:tcPr>
            <w:tcW w:type="dxa" w:w="14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2E75B6"/>
                <w:sz w:val="20"/>
                <w:szCs w:val="20"/>
              </w:rPr>
              <w:t xml:space="preserve">1:15–1:45</w:t>
            </w:r>
          </w:p>
        </w:tc>
        <w:tc>
          <w:tcPr>
            <w:tcW w:type="dxa" w:w="696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1A1A1A"/>
                <w:sz w:val="20"/>
                <w:szCs w:val="20"/>
              </w:rPr>
              <w:t xml:space="preserve">Pregunta de investigación y tres ejes tecnológicos del análisis</w:t>
            </w:r>
          </w:p>
        </w:tc>
      </w:tr>
      <w:tr>
        <w:tc>
          <w:tcPr>
            <w:tcW w:type="dxa" w:w="100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4</w:t>
            </w:r>
          </w:p>
        </w:tc>
        <w:tc>
          <w:tcPr>
            <w:tcW w:type="dxa" w:w="140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r>
              <w:rPr>
                <w:rFonts w:ascii="Arial" w:cs="Arial" w:eastAsia="Arial" w:hAnsi="Arial"/>
                <w:color w:val="2E75B6"/>
                <w:sz w:val="20"/>
                <w:szCs w:val="20"/>
              </w:rPr>
              <w:t xml:space="preserve">1:45–2:30</w:t>
            </w:r>
          </w:p>
        </w:tc>
        <w:tc>
          <w:tcPr>
            <w:tcW w:type="dxa" w:w="696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Metodología: 41 restaurantes, trabajo de campo presencial, cuestionario</w:t>
            </w:r>
          </w:p>
        </w:tc>
      </w:tr>
      <w:tr>
        <w:tc>
          <w:tcPr>
            <w:tcW w:type="dxa" w:w="10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5</w:t>
            </w:r>
          </w:p>
        </w:tc>
        <w:tc>
          <w:tcPr>
            <w:tcW w:type="dxa" w:w="14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2E75B6"/>
                <w:sz w:val="20"/>
                <w:szCs w:val="20"/>
              </w:rPr>
              <w:t xml:space="preserve">2:30–3:20</w:t>
            </w:r>
          </w:p>
        </w:tc>
        <w:tc>
          <w:tcPr>
            <w:tcW w:type="dxa" w:w="696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1A1A1A"/>
                <w:sz w:val="20"/>
                <w:szCs w:val="20"/>
              </w:rPr>
              <w:t xml:space="preserve">Resultados — Eje 1: Índice de Redes Sociales (IRS) + heterogeneidad geográfica</w:t>
            </w:r>
          </w:p>
        </w:tc>
      </w:tr>
      <w:tr>
        <w:tc>
          <w:tcPr>
            <w:tcW w:type="dxa" w:w="100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6</w:t>
            </w:r>
          </w:p>
        </w:tc>
        <w:tc>
          <w:tcPr>
            <w:tcW w:type="dxa" w:w="140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r>
              <w:rPr>
                <w:rFonts w:ascii="Arial" w:cs="Arial" w:eastAsia="Arial" w:hAnsi="Arial"/>
                <w:color w:val="2E75B6"/>
                <w:sz w:val="20"/>
                <w:szCs w:val="20"/>
              </w:rPr>
              <w:t xml:space="preserve">3:20–4:05</w:t>
            </w:r>
          </w:p>
        </w:tc>
        <w:tc>
          <w:tcPr>
            <w:tcW w:type="dxa" w:w="696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Resultados — Eje 2: Índice de Delivery (IDL) + heterogeneidad geográfica</w:t>
            </w:r>
          </w:p>
        </w:tc>
      </w:tr>
      <w:tr>
        <w:tc>
          <w:tcPr>
            <w:tcW w:type="dxa" w:w="10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7</w:t>
            </w:r>
          </w:p>
        </w:tc>
        <w:tc>
          <w:tcPr>
            <w:tcW w:type="dxa" w:w="14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2E75B6"/>
                <w:sz w:val="20"/>
                <w:szCs w:val="20"/>
              </w:rPr>
              <w:t xml:space="preserve">4:05–4:55</w:t>
            </w:r>
          </w:p>
        </w:tc>
        <w:tc>
          <w:tcPr>
            <w:tcW w:type="dxa" w:w="696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1A1A1A"/>
                <w:sz w:val="20"/>
                <w:szCs w:val="20"/>
              </w:rPr>
              <w:t xml:space="preserve">Resultados — Eje 3: Índice de Plataformas de Opinión (IPO) + heterogeneidad geográfica</w:t>
            </w:r>
          </w:p>
        </w:tc>
      </w:tr>
      <w:tr>
        <w:tc>
          <w:tcPr>
            <w:tcW w:type="dxa" w:w="100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8</w:t>
            </w:r>
          </w:p>
        </w:tc>
        <w:tc>
          <w:tcPr>
            <w:tcW w:type="dxa" w:w="140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r>
              <w:rPr>
                <w:rFonts w:ascii="Arial" w:cs="Arial" w:eastAsia="Arial" w:hAnsi="Arial"/>
                <w:color w:val="2E75B6"/>
                <w:sz w:val="20"/>
                <w:szCs w:val="20"/>
              </w:rPr>
              <w:t xml:space="preserve">4:55–5:30</w:t>
            </w:r>
          </w:p>
        </w:tc>
        <w:tc>
          <w:tcPr>
            <w:tcW w:type="dxa" w:w="6960"/>
            <w:tcBorders>
              <w:top w:val="single" w:color="C8D3E8" w:sz="1"/>
              <w:left w:val="single" w:color="C8D3E8" w:sz="1"/>
              <w:bottom w:val="single" w:color="C8D3E8" w:sz="1"/>
              <w:right w:val="single" w:color="C8D3E8"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Perspectiva futura: adopción de IA y percepción de propietarios</w:t>
            </w:r>
          </w:p>
        </w:tc>
      </w:tr>
      <w:tr>
        <w:tc>
          <w:tcPr>
            <w:tcW w:type="dxa" w:w="10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pPr>
              <w:jc w:val="center"/>
            </w:pPr>
            <w:r>
              <w:rPr>
                <w:rFonts w:ascii="Arial" w:cs="Arial" w:eastAsia="Arial" w:hAnsi="Arial"/>
                <w:b/>
                <w:bCs/>
                <w:color w:val="1B3A6B"/>
                <w:sz w:val="20"/>
                <w:szCs w:val="20"/>
              </w:rPr>
              <w:t xml:space="preserve">9</w:t>
            </w:r>
          </w:p>
        </w:tc>
        <w:tc>
          <w:tcPr>
            <w:tcW w:type="dxa" w:w="140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2E75B6"/>
                <w:sz w:val="20"/>
                <w:szCs w:val="20"/>
              </w:rPr>
              <w:t xml:space="preserve">5:30–6:10</w:t>
            </w:r>
          </w:p>
        </w:tc>
        <w:tc>
          <w:tcPr>
            <w:tcW w:type="dxa" w:w="6960"/>
            <w:tcBorders>
              <w:top w:val="single" w:color="C8D3E8" w:sz="1"/>
              <w:left w:val="single" w:color="C8D3E8" w:sz="1"/>
              <w:bottom w:val="single" w:color="C8D3E8" w:sz="1"/>
              <w:right w:val="single" w:color="C8D3E8" w:sz="1"/>
            </w:tcBorders>
            <w:shd w:fill="F2F5FA" w:val="clear"/>
            <w:tcMar>
              <w:top w:type="dxa" w:w="80"/>
              <w:left w:type="dxa" w:w="120"/>
              <w:bottom w:type="dxa" w:w="80"/>
              <w:right w:type="dxa" w:w="120"/>
            </w:tcMar>
          </w:tcPr>
          <w:p>
            <w:r>
              <w:rPr>
                <w:rFonts w:ascii="Arial" w:cs="Arial" w:eastAsia="Arial" w:hAnsi="Arial"/>
                <w:color w:val="1A1A1A"/>
                <w:sz w:val="20"/>
                <w:szCs w:val="20"/>
              </w:rPr>
              <w:t xml:space="preserve">Cierre: síntesis de hallazgos, patrón geográfico y reflexión final</w:t>
            </w:r>
          </w:p>
        </w:tc>
      </w:tr>
    </w:tbl>
    <w:p>
      <w:pPr>
        <w:spacing w:after="320"/>
      </w:pPr>
    </w:p>
    <w:p>
      <w:pPr>
        <w:pBdr>
          <w:bottom w:val="single" w:color="2E75B6" w:sz="8" w:space="4"/>
        </w:pBdr>
        <w:spacing w:after="160" w:before="360"/>
      </w:pPr>
      <w:r>
        <w:rPr>
          <w:rFonts w:ascii="Arial" w:cs="Arial" w:eastAsia="Arial" w:hAnsi="Arial"/>
          <w:b/>
          <w:bCs/>
          <w:color w:val="1B3A6B"/>
          <w:sz w:val="28"/>
          <w:szCs w:val="28"/>
        </w:rPr>
        <w:t xml:space="preserve">Guion detallado por escenas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1  </w:t>
            </w:r>
            <w:r>
              <w:rPr>
                <w:rFonts w:ascii="Arial" w:cs="Arial" w:eastAsia="Arial" w:hAnsi="Arial"/>
                <w:b w:val="false"/>
                <w:bCs w:val="false"/>
                <w:color w:val="AABFDF"/>
                <w:sz w:val="22"/>
                <w:szCs w:val="22"/>
              </w:rPr>
              <w:t xml:space="preserve">0:00 – 0:30  </w:t>
            </w:r>
            <w:r>
              <w:rPr>
                <w:rFonts w:ascii="Arial" w:cs="Arial" w:eastAsia="Arial" w:hAnsi="Arial"/>
                <w:b/>
                <w:bCs/>
                <w:color w:val="FFFFFF"/>
                <w:sz w:val="22"/>
                <w:szCs w:val="22"/>
              </w:rPr>
              <w:t xml:space="preserve">— Hook de apertura</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¿Qué tan importante es Instagram para que un restaurante llene mesas en Bogotá?</w:t>
            </w:r>
          </w:p>
          <w:p>
            <w:pPr>
              <w:spacing w:after="60"/>
            </w:pPr>
            <w:r>
              <w:rPr>
                <w:rFonts w:ascii="Arial" w:cs="Arial" w:eastAsia="Arial" w:hAnsi="Arial"/>
                <w:b w:val="false"/>
                <w:bCs w:val="false"/>
                <w:i w:val="false"/>
                <w:iCs w:val="false"/>
                <w:color w:val="1A1A1A"/>
                <w:sz w:val="20"/>
                <w:szCs w:val="20"/>
              </w:rPr>
              <w:t xml:space="preserve">¿Le basta con tener buena comida… o necesita también tener buenas reseñas en Google?</w:t>
            </w:r>
          </w:p>
          <w:p>
            <w:pPr>
              <w:spacing w:after="60"/>
            </w:pPr>
            <w:r>
              <w:rPr>
                <w:rFonts w:ascii="Arial" w:cs="Arial" w:eastAsia="Arial" w:hAnsi="Arial"/>
                <w:b w:val="false"/>
                <w:bCs w:val="false"/>
                <w:i w:val="false"/>
                <w:iCs w:val="false"/>
                <w:color w:val="1A1A1A"/>
                <w:sz w:val="20"/>
                <w:szCs w:val="20"/>
              </w:rPr>
              <w:t xml:space="preserve">Estas preguntas son el punto de partida de una investigación que analizó 41 restaurantes mediterráneos en Bogotá para entender cómo la digitalización ha transformado su posicionamiento en el mercado.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Pantalla negra con fade-in.</w:t>
            </w:r>
          </w:p>
          <w:p>
            <w:pPr>
              <w:spacing w:after="60"/>
            </w:pPr>
            <w:r>
              <w:rPr>
                <w:rFonts w:ascii="Arial" w:cs="Arial" w:eastAsia="Arial" w:hAnsi="Arial"/>
                <w:b w:val="false"/>
                <w:bCs w:val="false"/>
                <w:i w:val="false"/>
                <w:iCs w:val="false"/>
                <w:color w:val="1A1A1A"/>
                <w:sz w:val="20"/>
                <w:szCs w:val="20"/>
              </w:rPr>
              <w:t xml:space="preserve">Aparece una captura estilizada de Google Maps mostrando resultados de búsqueda 'restaurantes mediterráneos Bogotá'.</w:t>
            </w:r>
          </w:p>
          <w:p>
            <w:pPr>
              <w:spacing w:after="60"/>
            </w:pPr>
            <w:r>
              <w:rPr>
                <w:rFonts w:ascii="Arial" w:cs="Arial" w:eastAsia="Arial" w:hAnsi="Arial"/>
                <w:b w:val="false"/>
                <w:bCs w:val="false"/>
                <w:i w:val="false"/>
                <w:iCs w:val="false"/>
                <w:color w:val="1A1A1A"/>
                <w:sz w:val="20"/>
                <w:szCs w:val="20"/>
              </w:rPr>
              <w:t xml:space="preserve">Sobre la imagen, se despliega en tipografía limpia la pregunta clave del estudio: ¿Qué tecnologías han transformado el posicionamiento de los restaurantes mediterráneos en Bogotá?</w:t>
            </w:r>
          </w:p>
          <w:p>
            <w:pPr>
              <w:spacing w:after="60"/>
            </w:pPr>
            <w:r>
              <w:rPr>
                <w:rFonts w:ascii="Arial" w:cs="Arial" w:eastAsia="Arial" w:hAnsi="Arial"/>
                <w:b w:val="false"/>
                <w:bCs w:val="false"/>
                <w:i w:val="false"/>
                <w:iCs w:val="false"/>
                <w:color w:val="1A1A1A"/>
                <w:sz w:val="20"/>
                <w:szCs w:val="20"/>
              </w:rPr>
              <w:t xml:space="preserve">Corte a logo institucional Universidad del Rosario + título del proyecto.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Captura de pantalla estilizada + tipografía animada sobre fondo oscuro.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Ritmo pausado al inicio, sube energía en la última frase. Música: ambient instrumental suave con leve tensión. Sin voces en off adicionales — solo narrador principal.</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2  </w:t>
            </w:r>
            <w:r>
              <w:rPr>
                <w:rFonts w:ascii="Arial" w:cs="Arial" w:eastAsia="Arial" w:hAnsi="Arial"/>
                <w:b w:val="false"/>
                <w:bCs w:val="false"/>
                <w:color w:val="AABFDF"/>
                <w:sz w:val="22"/>
                <w:szCs w:val="22"/>
              </w:rPr>
              <w:t xml:space="preserve">0:30 – 1:15  </w:t>
            </w:r>
            <w:r>
              <w:rPr>
                <w:rFonts w:ascii="Arial" w:cs="Arial" w:eastAsia="Arial" w:hAnsi="Arial"/>
                <w:b/>
                <w:bCs/>
                <w:color w:val="FFFFFF"/>
                <w:sz w:val="22"/>
                <w:szCs w:val="22"/>
              </w:rPr>
              <w:t xml:space="preserve">— Motivación y contexto del mercado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Bogotá tiene uno de los ecosistemas gastronómicos más dinámicos de América Latina. Pero en los últimos años algo cambió: el cliente decide dónde comer antes de salir de casa.</w:t>
            </w:r>
          </w:p>
          <w:p>
            <w:pPr>
              <w:spacing w:after="60"/>
            </w:pPr>
            <w:r>
              <w:rPr>
                <w:rFonts w:ascii="Arial" w:cs="Arial" w:eastAsia="Arial" w:hAnsi="Arial"/>
                <w:b w:val="false"/>
                <w:bCs w:val="false"/>
                <w:i w:val="false"/>
                <w:iCs w:val="false"/>
                <w:color w:val="1A1A1A"/>
                <w:sz w:val="20"/>
                <w:szCs w:val="20"/>
              </w:rPr>
              <w:t xml:space="preserve">El 92% de los consumidores colombianos investiga en línea antes de elegir restaurante. Y el 78% prefiere reservar a través de plataformas digitales.</w:t>
            </w:r>
          </w:p>
          <w:p>
            <w:pPr>
              <w:spacing w:after="60"/>
            </w:pPr>
            <w:r>
              <w:rPr>
                <w:rFonts w:ascii="Arial" w:cs="Arial" w:eastAsia="Arial" w:hAnsi="Arial"/>
                <w:b w:val="false"/>
                <w:bCs w:val="false"/>
                <w:i w:val="false"/>
                <w:iCs w:val="false"/>
                <w:color w:val="1A1A1A"/>
                <w:sz w:val="20"/>
                <w:szCs w:val="20"/>
              </w:rPr>
              <w:t xml:space="preserve">Esto ha reconfigurado las reglas del juego. Ya no basta con tener buena comida en una buena ubicación. Ahora el posicionamiento depende de la capacidad del restaurante para gestionar su visibilidad y reputación en el ecosistema digital.</w:t>
            </w:r>
          </w:p>
          <w:p>
            <w:pPr>
              <w:spacing w:after="60"/>
            </w:pPr>
            <w:r>
              <w:rPr>
                <w:rFonts w:ascii="Arial" w:cs="Arial" w:eastAsia="Arial" w:hAnsi="Arial"/>
                <w:b w:val="false"/>
                <w:bCs w:val="false"/>
                <w:i w:val="false"/>
                <w:iCs w:val="false"/>
                <w:color w:val="1A1A1A"/>
                <w:sz w:val="20"/>
                <w:szCs w:val="20"/>
              </w:rPr>
              <w:t xml:space="preserve">Para los restaurantes mediterráneos —un nicho con propuesta diferenciada y ticket más alto que justificar— esa batalla se libra, en gran medida, en pantallas.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Infografía animada: mapa de Bogotá con puntos que representan restaurantes mediterráneos identificados (españoles, griegos, italianos, mediterráneos).</w:t>
            </w:r>
          </w:p>
          <w:p>
            <w:pPr>
              <w:spacing w:after="60"/>
            </w:pPr>
            <w:r>
              <w:rPr>
                <w:rFonts w:ascii="Arial" w:cs="Arial" w:eastAsia="Arial" w:hAnsi="Arial"/>
                <w:b w:val="false"/>
                <w:bCs w:val="false"/>
                <w:i w:val="false"/>
                <w:iCs w:val="false"/>
                <w:color w:val="1A1A1A"/>
                <w:sz w:val="20"/>
                <w:szCs w:val="20"/>
              </w:rPr>
              <w:t xml:space="preserve">Corte a estadísticas flotantes: '92% investiga en línea' y '78% reserva por plataformas' — texto grande, fondo neutro oscuro.</w:t>
            </w:r>
          </w:p>
          <w:p>
            <w:pPr>
              <w:spacing w:after="60"/>
            </w:pPr>
            <w:r>
              <w:rPr>
                <w:rFonts w:ascii="Arial" w:cs="Arial" w:eastAsia="Arial" w:hAnsi="Arial"/>
                <w:b w:val="false"/>
                <w:bCs w:val="false"/>
                <w:i w:val="false"/>
                <w:iCs w:val="false"/>
                <w:color w:val="1A1A1A"/>
                <w:sz w:val="20"/>
                <w:szCs w:val="20"/>
              </w:rPr>
              <w:t xml:space="preserve">Transición: línea de tiempo simple mostrando el desplazamiento del posicionamiento tradicional (ubicación, precio, calidad) → posicionamiento digital (reseñas, redes, delivery).</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Mapa estilizado de Bogotá + estadísticas animadas tipo motion graphics + línea de tiempo comparativa.</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Ritmo explicativo pero directo. Las cifras (92%, 78%) aparecen con énfasis visual — aumento de tamaño o destello breve. Citar fuentes (Digisap, 2025) en pequeño en pantalla.</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3  </w:t>
            </w:r>
            <w:r>
              <w:rPr>
                <w:rFonts w:ascii="Arial" w:cs="Arial" w:eastAsia="Arial" w:hAnsi="Arial"/>
                <w:b w:val="false"/>
                <w:bCs w:val="false"/>
                <w:color w:val="AABFDF"/>
                <w:sz w:val="22"/>
                <w:szCs w:val="22"/>
              </w:rPr>
              <w:t xml:space="preserve">1:15 – 1:45  </w:t>
            </w:r>
            <w:r>
              <w:rPr>
                <w:rFonts w:ascii="Arial" w:cs="Arial" w:eastAsia="Arial" w:hAnsi="Arial"/>
                <w:b/>
                <w:bCs/>
                <w:color w:val="FFFFFF"/>
                <w:sz w:val="22"/>
                <w:szCs w:val="22"/>
              </w:rPr>
              <w:t xml:space="preserve">— Pregunta de investigación</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Frente a este panorama, el proyecto buscó responder una pregunta central:</w:t>
            </w:r>
          </w:p>
          <w:p>
            <w:pPr>
              <w:spacing w:after="60"/>
            </w:pPr>
            <w:r>
              <w:rPr>
                <w:rFonts w:ascii="Arial" w:cs="Arial" w:eastAsia="Arial" w:hAnsi="Arial"/>
                <w:b w:val="false"/>
                <w:bCs w:val="false"/>
                <w:i w:val="false"/>
                <w:iCs w:val="false"/>
                <w:color w:val="1A1A1A"/>
                <w:sz w:val="20"/>
                <w:szCs w:val="20"/>
              </w:rPr>
              <w:t xml:space="preserve">¿Cuál es el estado actual de las estrategias de posicionamiento digital de los restaurantes mediterráneos en Bogotá, y cómo perciben sus propietarios la adopción de inteligencia artificial como herramienta de posicionamiento futuro?</w:t>
            </w:r>
          </w:p>
          <w:p>
            <w:pPr>
              <w:spacing w:after="60"/>
            </w:pPr>
            <w:r>
              <w:rPr>
                <w:rFonts w:ascii="Arial" w:cs="Arial" w:eastAsia="Arial" w:hAnsi="Arial"/>
                <w:b w:val="false"/>
                <w:bCs w:val="false"/>
                <w:i w:val="false"/>
                <w:iCs w:val="false"/>
                <w:color w:val="1A1A1A"/>
                <w:sz w:val="20"/>
                <w:szCs w:val="20"/>
              </w:rPr>
              <w:t xml:space="preserve">Para responderla, se analizaron tres ejes tecnológicos: plataformas de reseñas, redes sociales, y plataformas de delivery.</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La pregunta de investigación aparece en pantalla, palabra por palabra, con las frases clave resaltadas: 'posicionamiento digital', 'inteligencia artificial', 'restaurantes mediterráneos en Bogotá'.</w:t>
            </w:r>
          </w:p>
          <w:p>
            <w:pPr>
              <w:spacing w:after="60"/>
            </w:pPr>
            <w:r>
              <w:rPr>
                <w:rFonts w:ascii="Arial" w:cs="Arial" w:eastAsia="Arial" w:hAnsi="Arial"/>
                <w:b w:val="false"/>
                <w:bCs w:val="false"/>
                <w:i w:val="false"/>
                <w:iCs w:val="false"/>
                <w:color w:val="1A1A1A"/>
                <w:sz w:val="20"/>
                <w:szCs w:val="20"/>
              </w:rPr>
              <w:t xml:space="preserve">Debajo, tres íconos aparecen simultáneamente: ⭐ Reseñas | 📱 Redes sociales | 🛵 Delivery.</w:t>
            </w:r>
          </w:p>
          <w:p>
            <w:pPr>
              <w:spacing w:after="60"/>
            </w:pPr>
            <w:r>
              <w:rPr>
                <w:rFonts w:ascii="Arial" w:cs="Arial" w:eastAsia="Arial" w:hAnsi="Arial"/>
                <w:b w:val="false"/>
                <w:bCs w:val="false"/>
                <w:i w:val="false"/>
                <w:iCs w:val="false"/>
                <w:color w:val="1A1A1A"/>
                <w:sz w:val="20"/>
                <w:szCs w:val="20"/>
              </w:rPr>
              <w:t xml:space="preserve">Fondo: degradado azul oscuro corporativo.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Tipografía animada con highlight + iconografía limpia.</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Pausa breve antes de leer la pregunta. Énfasis vocal en 'inteligencia artificial' y 'posicionamiento futuro'. Los tres ejes aparecen como remate visual del bloque.</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4  </w:t>
            </w:r>
            <w:r>
              <w:rPr>
                <w:rFonts w:ascii="Arial" w:cs="Arial" w:eastAsia="Arial" w:hAnsi="Arial"/>
                <w:b w:val="false"/>
                <w:bCs w:val="false"/>
                <w:color w:val="AABFDF"/>
                <w:sz w:val="22"/>
                <w:szCs w:val="22"/>
              </w:rPr>
              <w:t xml:space="preserve">1:45 – 2:30  </w:t>
            </w:r>
            <w:r>
              <w:rPr>
                <w:rFonts w:ascii="Arial" w:cs="Arial" w:eastAsia="Arial" w:hAnsi="Arial"/>
                <w:b/>
                <w:bCs/>
                <w:color w:val="FFFFFF"/>
                <w:sz w:val="22"/>
                <w:szCs w:val="22"/>
              </w:rPr>
              <w:t xml:space="preserve">— Metodología y recolección de datos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El estudio trabajó con una muestra de 41 restaurantes, visitados de forma presencial en distintos barrios de Bogotá.</w:t>
            </w:r>
          </w:p>
          <w:p>
            <w:pPr>
              <w:spacing w:after="60"/>
            </w:pPr>
            <w:r>
              <w:rPr>
                <w:rFonts w:ascii="Arial" w:cs="Arial" w:eastAsia="Arial" w:hAnsi="Arial"/>
                <w:b w:val="false"/>
                <w:bCs w:val="false"/>
                <w:i w:val="false"/>
                <w:iCs w:val="false"/>
                <w:color w:val="1A1A1A"/>
                <w:sz w:val="20"/>
                <w:szCs w:val="20"/>
              </w:rPr>
              <w:t xml:space="preserve">La muestra incluyó 16 restaurantes de cocina española, 15 de cocina italiana, 9 de cocina griega y 1 de cocina mediterránea de fusión.</w:t>
            </w:r>
          </w:p>
          <w:p>
            <w:pPr>
              <w:spacing w:after="60"/>
            </w:pPr>
            <w:r>
              <w:rPr>
                <w:rFonts w:ascii="Arial" w:cs="Arial" w:eastAsia="Arial" w:hAnsi="Arial"/>
                <w:b w:val="false"/>
                <w:bCs w:val="false"/>
                <w:i w:val="false"/>
                <w:iCs w:val="false"/>
                <w:color w:val="1A1A1A"/>
                <w:sz w:val="20"/>
                <w:szCs w:val="20"/>
              </w:rPr>
              <w:t xml:space="preserve">En cada establecimiento, el propietario o administrador respondió un cuestionario estructurado con preguntas sobre inversión digital, canales de ventas, gestión de reseñas y percepción frente a la inteligencia artificial.</w:t>
            </w:r>
          </w:p>
          <w:p>
            <w:pPr>
              <w:spacing w:after="60"/>
            </w:pPr>
            <w:r>
              <w:rPr>
                <w:rFonts w:ascii="Arial" w:cs="Arial" w:eastAsia="Arial" w:hAnsi="Arial"/>
                <w:b w:val="false"/>
                <w:bCs w:val="false"/>
                <w:i w:val="false"/>
                <w:iCs w:val="false"/>
                <w:color w:val="1A1A1A"/>
                <w:sz w:val="20"/>
                <w:szCs w:val="20"/>
              </w:rPr>
              <w:t xml:space="preserve">Adicionalmente, se complementó la información con observación directa en Google Maps y TripAdvisor para cada restaurante, recogiendo número de reseñas, calificación promedio y presencia en plataformas.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Mapa de Bogotá con puntos distribuidos por barrio, que se 'encienden' progresivamente hasta llegar a 41.</w:t>
            </w:r>
          </w:p>
          <w:p>
            <w:pPr>
              <w:spacing w:after="60"/>
            </w:pPr>
            <w:r>
              <w:rPr>
                <w:rFonts w:ascii="Arial" w:cs="Arial" w:eastAsia="Arial" w:hAnsi="Arial"/>
                <w:b w:val="false"/>
                <w:bCs w:val="false"/>
                <w:i w:val="false"/>
                <w:iCs w:val="false"/>
                <w:color w:val="1A1A1A"/>
                <w:sz w:val="20"/>
                <w:szCs w:val="20"/>
              </w:rPr>
              <w:t xml:space="preserve">Corte a gráfico de torta o barras horizontales: distribución de la muestra por tipo de cocina (Española 39% | Italiana 37% | Griega 22% | Mediterránea fusión 2%).</w:t>
            </w:r>
          </w:p>
          <w:p>
            <w:pPr>
              <w:spacing w:after="60"/>
            </w:pPr>
            <w:r>
              <w:rPr>
                <w:rFonts w:ascii="Arial" w:cs="Arial" w:eastAsia="Arial" w:hAnsi="Arial"/>
                <w:b w:val="false"/>
                <w:bCs w:val="false"/>
                <w:i w:val="false"/>
                <w:iCs w:val="false"/>
                <w:color w:val="1A1A1A"/>
                <w:sz w:val="20"/>
                <w:szCs w:val="20"/>
              </w:rPr>
              <w:t xml:space="preserve">Imagen estilizada de un cuestionario en tablet, con el encuestador frente a un restaurante.</w:t>
            </w:r>
          </w:p>
          <w:p>
            <w:pPr>
              <w:spacing w:after="60"/>
            </w:pPr>
            <w:r>
              <w:rPr>
                <w:rFonts w:ascii="Arial" w:cs="Arial" w:eastAsia="Arial" w:hAnsi="Arial"/>
                <w:b w:val="false"/>
                <w:bCs w:val="false"/>
                <w:i w:val="false"/>
                <w:iCs w:val="false"/>
                <w:color w:val="1A1A1A"/>
                <w:sz w:val="20"/>
                <w:szCs w:val="20"/>
              </w:rPr>
              <w:t xml:space="preserve">Íconos pequeños: Google Maps + TripAdvisor, con la leyenda 'datos observacionales directos'.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Mapa animado + gráfico de distribución de muestra + iconografía de plataformas.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Tono metodológico pero ágil — no más de 3 segundos por dato. El mapa con puntos que se encienden da sensación de trabajo de campo real. Mencionar 'visitas presenciales' da credibilidad al estudio.</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5  </w:t>
            </w:r>
            <w:r>
              <w:rPr>
                <w:rFonts w:ascii="Arial" w:cs="Arial" w:eastAsia="Arial" w:hAnsi="Arial"/>
                <w:b w:val="false"/>
                <w:bCs w:val="false"/>
                <w:color w:val="AABFDF"/>
                <w:sz w:val="22"/>
                <w:szCs w:val="22"/>
              </w:rPr>
              <w:t xml:space="preserve">2:30 – 3:20  </w:t>
            </w:r>
            <w:r>
              <w:rPr>
                <w:rFonts w:ascii="Arial" w:cs="Arial" w:eastAsia="Arial" w:hAnsi="Arial"/>
                <w:b/>
                <w:bCs/>
                <w:color w:val="FFFFFF"/>
                <w:sz w:val="22"/>
                <w:szCs w:val="22"/>
              </w:rPr>
              <w:t xml:space="preserve">— Resultados — Eje 1: Redes Sociales (IRS)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El primer eje mide qué tan activamente los restaurantes usan redes sociales como palanca de posicionamiento.</w:t>
            </w:r>
          </w:p>
          <w:p>
            <w:pPr>
              <w:spacing w:after="60"/>
            </w:pPr>
            <w:r>
              <w:rPr>
                <w:rFonts w:ascii="Arial" w:cs="Arial" w:eastAsia="Arial" w:hAnsi="Arial"/>
                <w:b w:val="false"/>
                <w:bCs w:val="false"/>
                <w:i w:val="false"/>
                <w:iCs w:val="false"/>
                <w:color w:val="1A1A1A"/>
                <w:sz w:val="20"/>
                <w:szCs w:val="20"/>
              </w:rPr>
              <w:t xml:space="preserve">Construimos un Índice de Redes Sociales que combina: si el restaurante invierte en publicidad paga, en qué plataformas, con qué frecuencia, y cuánto del ingreso destina a marketing digital.</w:t>
            </w:r>
          </w:p>
          <w:p>
            <w:pPr>
              <w:spacing w:after="60"/>
            </w:pPr>
            <w:r>
              <w:rPr>
                <w:rFonts w:ascii="Arial" w:cs="Arial" w:eastAsia="Arial" w:hAnsi="Arial"/>
                <w:b/>
                <w:bCs/>
                <w:color w:val="B22222"/>
                <w:sz w:val="20"/>
                <w:szCs w:val="20"/>
              </w:rPr>
              <w:t xml:space="preserve">[DATO] % de los restaurantes declara realizar inversión activa en marketing digital.</w:t>
            </w:r>
          </w:p>
          <w:p>
            <w:pPr>
              <w:spacing w:after="60"/>
            </w:pPr>
            <w:r>
              <w:rPr>
                <w:rFonts w:ascii="Arial" w:cs="Arial" w:eastAsia="Arial" w:hAnsi="Arial"/>
                <w:b/>
                <w:bCs/>
                <w:color w:val="B22222"/>
                <w:sz w:val="20"/>
                <w:szCs w:val="20"/>
              </w:rPr>
              <w:t xml:space="preserve">Las plataformas más usadas para pauta paga son: [DATO] (Facebook/Instagram Ads), [DATO] (Google Ads) y [DATO] (TikTok Ads).</w:t>
            </w:r>
          </w:p>
          <w:p>
            <w:pPr>
              <w:spacing w:after="60"/>
            </w:pPr>
            <w:r>
              <w:rPr>
                <w:rFonts w:ascii="Arial" w:cs="Arial" w:eastAsia="Arial" w:hAnsi="Arial"/>
                <w:b/>
                <w:bCs/>
                <w:color w:val="B22222"/>
                <w:sz w:val="20"/>
                <w:szCs w:val="20"/>
              </w:rPr>
              <w:t xml:space="preserve">[DATO] % concentra una inversión menor al 1% de sus ingresos en marketing.</w:t>
            </w:r>
          </w:p>
          <w:p>
            <w:pPr>
              <w:spacing w:after="60"/>
            </w:pPr>
            <w:r>
              <w:rPr>
                <w:rFonts w:ascii="Arial" w:cs="Arial" w:eastAsia="Arial" w:hAnsi="Arial"/>
                <w:b/>
                <w:bCs/>
                <w:color w:val="B22222"/>
                <w:sz w:val="20"/>
                <w:szCs w:val="20"/>
              </w:rPr>
              <w:t xml:space="preserve">En términos del IRS: [DATO] % de los restaurantes tiene un índice BAJO, [DATO] % MEDIO y [DATO] % ALTO.</w:t>
            </w:r>
          </w:p>
          <w:p>
            <w:pPr>
              <w:spacing w:after="60"/>
            </w:pPr>
            <w:r>
              <w:rPr>
                <w:rFonts w:ascii="Arial" w:cs="Arial" w:eastAsia="Arial" w:hAnsi="Arial"/>
                <w:b w:val="false"/>
                <w:bCs w:val="false"/>
                <w:i w:val="false"/>
                <w:iCs w:val="false"/>
                <w:color w:val="1A1A1A"/>
                <w:sz w:val="20"/>
                <w:szCs w:val="20"/>
              </w:rPr>
              <w:t xml:space="preserve">Un hallazgo relevante: muchos restaurantes tienen presencia en redes, pero pocos han construido una estrategia coherente y continua.</w:t>
            </w:r>
          </w:p>
          <w:p>
            <w:pPr>
              <w:spacing w:after="60"/>
            </w:pPr>
            <w:r>
              <w:rPr>
                <w:rFonts w:ascii="Arial" w:cs="Arial" w:eastAsia="Arial" w:hAnsi="Arial"/>
                <w:b w:val="false"/>
                <w:bCs w:val="false"/>
                <w:i w:val="false"/>
                <w:iCs w:val="false"/>
                <w:color w:val="1A1A1A"/>
                <w:sz w:val="20"/>
                <w:szCs w:val="20"/>
              </w:rPr>
              <w:t xml:space="preserve">Pero no todos los restaurantes parten del mismo punto. Al comparar zonas de la ciudad, emerge una diferencia importante.</w:t>
            </w:r>
          </w:p>
          <w:p>
            <w:pPr>
              <w:spacing w:after="60"/>
            </w:pPr>
            <w:r>
              <w:rPr>
                <w:rFonts w:ascii="Arial" w:cs="Arial" w:eastAsia="Arial" w:hAnsi="Arial"/>
                <w:b/>
                <w:bCs/>
                <w:color w:val="B22222"/>
                <w:sz w:val="20"/>
                <w:szCs w:val="20"/>
              </w:rPr>
              <w:t xml:space="preserve">Los restaurantes ubicados en zonas de alta concentración gastronómica —Zona T, Zona G, Usaquén— tienen en promedio un IRS de [DATO], frente a [DATO] en zonas más dispersas.</w:t>
            </w:r>
          </w:p>
          <w:p>
            <w:pPr>
              <w:spacing w:after="60"/>
            </w:pPr>
            <w:r>
              <w:rPr>
                <w:rFonts w:ascii="Arial" w:cs="Arial" w:eastAsia="Arial" w:hAnsi="Arial"/>
                <w:b/>
                <w:bCs/>
                <w:color w:val="B22222"/>
                <w:sz w:val="20"/>
                <w:szCs w:val="20"/>
              </w:rPr>
              <w:t xml:space="preserve">Esto sugiere que [INSERTAR INTERPRETACIÓN: la competencia por visibilidad en zonas densas presiona una mayor inversión en redes / o que la concentración geográfica no necesariamente implica mayor adopción digital — según lo que muestren los datos].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Dashboard estilizado con tres métricas principales del IRS: % con inversión activa, plataformas más usadas, distribución de niveles (bajo/medio/alto).</w:t>
            </w:r>
          </w:p>
          <w:p>
            <w:pPr>
              <w:spacing w:after="60"/>
            </w:pPr>
            <w:r>
              <w:rPr>
                <w:rFonts w:ascii="Arial" w:cs="Arial" w:eastAsia="Arial" w:hAnsi="Arial"/>
                <w:b/>
                <w:bCs/>
                <w:color w:val="B22222"/>
                <w:sz w:val="20"/>
                <w:szCs w:val="20"/>
              </w:rPr>
              <w:t xml:space="preserve">Gráfico de barras horizontales: porcentajes por plataforma de pauta paga — completar con datos reales.</w:t>
            </w:r>
          </w:p>
          <w:p>
            <w:pPr>
              <w:spacing w:after="60"/>
            </w:pPr>
            <w:r>
              <w:rPr>
                <w:rFonts w:ascii="Arial" w:cs="Arial" w:eastAsia="Arial" w:hAnsi="Arial"/>
                <w:b/>
                <w:bCs/>
                <w:color w:val="B22222"/>
                <w:sz w:val="20"/>
                <w:szCs w:val="20"/>
              </w:rPr>
              <w:t xml:space="preserve">Gráfico de dona o torta: distribución IRS bajo / medio / alto — completar con datos reales.</w:t>
            </w:r>
          </w:p>
          <w:p>
            <w:pPr>
              <w:spacing w:after="60"/>
            </w:pPr>
            <w:r>
              <w:rPr>
                <w:rFonts w:ascii="Arial" w:cs="Arial" w:eastAsia="Arial" w:hAnsi="Arial"/>
                <w:b w:val="false"/>
                <w:bCs w:val="false"/>
                <w:i w:val="false"/>
                <w:iCs w:val="false"/>
                <w:color w:val="1A1A1A"/>
                <w:sz w:val="20"/>
                <w:szCs w:val="20"/>
              </w:rPr>
              <w:t xml:space="preserve">HETEROGENEIDAD GEOGRÁFICA — Mapa de Bogotá con puntos coloreados según nivel IRS (verde = alto, amarillo = medio, rojo = bajo). Las zonas concentradas (Zona T / Zona G / Usaquén) deben resaltarse con un contorno o sombreado diferenciador.</w:t>
            </w:r>
          </w:p>
          <w:p>
            <w:pPr>
              <w:spacing w:after="60"/>
            </w:pPr>
            <w:r>
              <w:rPr>
                <w:rFonts w:ascii="Arial" w:cs="Arial" w:eastAsia="Arial" w:hAnsi="Arial"/>
                <w:b/>
                <w:bCs/>
                <w:color w:val="B22222"/>
                <w:sz w:val="20"/>
                <w:szCs w:val="20"/>
              </w:rPr>
              <w:t xml:space="preserve">Panel comparativo lateral: IRS promedio Zona Concentrada [DATO] vs. IRS promedio Zona Dispersa [DATO] — barras simples lado a lado.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Dashboard de resultados con gráficos de barras y dona.</w:t>
            </w:r>
          </w:p>
          <w:p>
            <w:pPr>
              <w:spacing w:after="60"/>
            </w:pPr>
            <w:r>
              <w:rPr>
                <w:rFonts w:ascii="Arial" w:cs="Arial" w:eastAsia="Arial" w:hAnsi="Arial"/>
                <w:b w:val="false"/>
                <w:bCs w:val="false"/>
                <w:i w:val="false"/>
                <w:iCs w:val="false"/>
                <w:color w:val="1A1A1A"/>
                <w:sz w:val="20"/>
                <w:szCs w:val="20"/>
              </w:rPr>
              <w:t xml:space="preserve">NUEVO — Mapa de calor o mapa de puntos de Bogotá con codificación de color por nivel IRS. Puede construirse en Datawrapper, Flourish o Tableau Public usando las coordenadas de los 41 restaurantes.</w:t>
            </w:r>
          </w:p>
          <w:p>
            <w:pPr>
              <w:spacing w:after="60"/>
            </w:pPr>
            <w:r>
              <w:rPr>
                <w:rFonts w:ascii="Arial" w:cs="Arial" w:eastAsia="Arial" w:hAnsi="Arial"/>
                <w:b w:val="false"/>
                <w:bCs w:val="false"/>
                <w:i w:val="false"/>
                <w:iCs w:val="false"/>
                <w:color w:val="1A1A1A"/>
                <w:sz w:val="20"/>
                <w:szCs w:val="20"/>
              </w:rPr>
              <w:t xml:space="preserve">Panel comparativo de barras: zona concentrada vs. zona dispersa.</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Ritmo más rápido en los datos generales — los datos deben aparecer de forma progresiva.</w:t>
            </w:r>
          </w:p>
          <w:p>
            <w:pPr>
              <w:spacing w:after="60"/>
            </w:pPr>
            <w:r>
              <w:rPr>
                <w:rFonts w:ascii="Arial" w:cs="Arial" w:eastAsia="Arial" w:hAnsi="Arial"/>
                <w:b w:val="false"/>
                <w:bCs w:val="false"/>
                <w:i w:val="false"/>
                <w:iCs w:val="false"/>
                <w:color w:val="1A1A1A"/>
                <w:sz w:val="20"/>
                <w:szCs w:val="20"/>
              </w:rPr>
              <w:t xml:space="preserve">Al llegar a la comparación geográfica, bajar levemente el ritmo y dejar el mapa en pantalla 4–5 segundos para que el evaluador lo lea.</w:t>
            </w:r>
          </w:p>
          <w:p>
            <w:pPr>
              <w:spacing w:after="60"/>
            </w:pPr>
            <w:r>
              <w:rPr>
                <w:rFonts w:ascii="Arial" w:cs="Arial" w:eastAsia="Arial" w:hAnsi="Arial"/>
                <w:b w:val="false"/>
                <w:bCs w:val="false"/>
                <w:i w:val="false"/>
                <w:iCs w:val="false"/>
                <w:color w:val="1A1A1A"/>
                <w:sz w:val="20"/>
                <w:szCs w:val="20"/>
              </w:rPr>
              <w:t xml:space="preserve">La pregunta implícita que debe quedar en el espectador: ¿la concentración de competidores activa o inhibe la inversión en redes? Eso lo responden los datos.</w:t>
            </w:r>
          </w:p>
          <w:p>
            <w:pPr>
              <w:spacing w:after="60"/>
            </w:pPr>
            <w:r>
              <w:rPr>
                <w:rFonts w:ascii="Arial" w:cs="Arial" w:eastAsia="Arial" w:hAnsi="Arial"/>
                <w:b w:val="false"/>
                <w:bCs w:val="false"/>
                <w:i w:val="false"/>
                <w:iCs w:val="false"/>
                <w:color w:val="1A1A1A"/>
                <w:sz w:val="20"/>
                <w:szCs w:val="20"/>
              </w:rPr>
              <w:t xml:space="preserve">Reemplazar todos los [DATO] con cifras reales al montar el video.</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6  </w:t>
            </w:r>
            <w:r>
              <w:rPr>
                <w:rFonts w:ascii="Arial" w:cs="Arial" w:eastAsia="Arial" w:hAnsi="Arial"/>
                <w:b w:val="false"/>
                <w:bCs w:val="false"/>
                <w:color w:val="AABFDF"/>
                <w:sz w:val="22"/>
                <w:szCs w:val="22"/>
              </w:rPr>
              <w:t xml:space="preserve">3:20 – 4:05  </w:t>
            </w:r>
            <w:r>
              <w:rPr>
                <w:rFonts w:ascii="Arial" w:cs="Arial" w:eastAsia="Arial" w:hAnsi="Arial"/>
                <w:b/>
                <w:bCs/>
                <w:color w:val="FFFFFF"/>
                <w:sz w:val="22"/>
                <w:szCs w:val="22"/>
              </w:rPr>
              <w:t xml:space="preserve">— Resultados — Eje 2: Delivery (IDL)</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El segundo eje analiza qué tan integradas están las plataformas de delivery —Rappi, DiDi, UberEats— en la estrategia de ventas y posicionamiento.</w:t>
            </w:r>
          </w:p>
          <w:p>
            <w:pPr>
              <w:spacing w:after="60"/>
            </w:pPr>
            <w:r>
              <w:rPr>
                <w:rFonts w:ascii="Arial" w:cs="Arial" w:eastAsia="Arial" w:hAnsi="Arial"/>
                <w:b w:val="false"/>
                <w:bCs w:val="false"/>
                <w:i w:val="false"/>
                <w:iCs w:val="false"/>
                <w:color w:val="1A1A1A"/>
                <w:sz w:val="20"/>
                <w:szCs w:val="20"/>
              </w:rPr>
              <w:t xml:space="preserve">El Índice de Delivery mide: si el restaurante invierte en pauta de delivery, qué proporción de sus ventas viene por estas plataformas, y si percibe el delivery como su canal más rentable.</w:t>
            </w:r>
          </w:p>
          <w:p>
            <w:pPr>
              <w:spacing w:after="60"/>
            </w:pPr>
            <w:r>
              <w:rPr>
                <w:rFonts w:ascii="Arial" w:cs="Arial" w:eastAsia="Arial" w:hAnsi="Arial"/>
                <w:b/>
                <w:bCs/>
                <w:color w:val="B22222"/>
                <w:sz w:val="20"/>
                <w:szCs w:val="20"/>
              </w:rPr>
              <w:t xml:space="preserve">En promedio, [DATO] de cada 10 clientes llega a través de plataformas de delivery.</w:t>
            </w:r>
          </w:p>
          <w:p>
            <w:pPr>
              <w:spacing w:after="60"/>
            </w:pPr>
            <w:r>
              <w:rPr>
                <w:rFonts w:ascii="Arial" w:cs="Arial" w:eastAsia="Arial" w:hAnsi="Arial"/>
                <w:b/>
                <w:bCs/>
                <w:color w:val="B22222"/>
                <w:sz w:val="20"/>
                <w:szCs w:val="20"/>
              </w:rPr>
              <w:t xml:space="preserve">[DATO] % considera el canal presencial como el más rentable, frente a [DATO] % que señala las plataformas de delivery.</w:t>
            </w:r>
          </w:p>
          <w:p>
            <w:pPr>
              <w:spacing w:after="60"/>
            </w:pPr>
            <w:r>
              <w:rPr>
                <w:rFonts w:ascii="Arial" w:cs="Arial" w:eastAsia="Arial" w:hAnsi="Arial"/>
                <w:b/>
                <w:bCs/>
                <w:color w:val="B22222"/>
                <w:sz w:val="20"/>
                <w:szCs w:val="20"/>
              </w:rPr>
              <w:t xml:space="preserve">[DATO] % de los restaurantes accede a datos de comportamiento del cliente en las plataformas, pero solo [DATO] % los usa activamente para tomar decisiones.</w:t>
            </w:r>
          </w:p>
          <w:p>
            <w:pPr>
              <w:spacing w:after="60"/>
            </w:pPr>
            <w:r>
              <w:rPr>
                <w:rFonts w:ascii="Arial" w:cs="Arial" w:eastAsia="Arial" w:hAnsi="Arial"/>
                <w:b w:val="false"/>
                <w:bCs w:val="false"/>
                <w:i w:val="false"/>
                <w:iCs w:val="false"/>
                <w:color w:val="1A1A1A"/>
                <w:sz w:val="20"/>
                <w:szCs w:val="20"/>
              </w:rPr>
              <w:t xml:space="preserve">Este último punto es clave: los datos existen, pero muchos propietarios aún no los están aprovechando estratégicamente.</w:t>
            </w:r>
          </w:p>
          <w:p>
            <w:pPr>
              <w:spacing w:after="60"/>
            </w:pPr>
            <w:r>
              <w:rPr>
                <w:rFonts w:ascii="Arial" w:cs="Arial" w:eastAsia="Arial" w:hAnsi="Arial"/>
                <w:b w:val="false"/>
                <w:bCs w:val="false"/>
                <w:i w:val="false"/>
                <w:iCs w:val="false"/>
                <w:color w:val="1A1A1A"/>
                <w:sz w:val="20"/>
                <w:szCs w:val="20"/>
              </w:rPr>
              <w:t xml:space="preserve">La dimensión geográfica también importa aquí. En zonas de alta concentración gastronómica, la competencia en plataformas de delivery es más intensa — y eso puede traducirse en mayor o menor adopción según el posicionamiento de precio del restaurante.</w:t>
            </w:r>
          </w:p>
          <w:p>
            <w:pPr>
              <w:spacing w:after="60"/>
            </w:pPr>
            <w:r>
              <w:rPr>
                <w:rFonts w:ascii="Arial" w:cs="Arial" w:eastAsia="Arial" w:hAnsi="Arial"/>
                <w:b/>
                <w:bCs/>
                <w:color w:val="B22222"/>
                <w:sz w:val="20"/>
                <w:szCs w:val="20"/>
              </w:rPr>
              <w:t xml:space="preserve">Los restaurantes en zonas concentradas (Zona T, Zona G, Usaquén) tienen un IDL promedio de [DATO], comparado con [DATO] en zonas dispersas.</w:t>
            </w:r>
          </w:p>
          <w:p>
            <w:pPr>
              <w:spacing w:after="60"/>
            </w:pPr>
            <w:r>
              <w:rPr>
                <w:rFonts w:ascii="Arial" w:cs="Arial" w:eastAsia="Arial" w:hAnsi="Arial"/>
                <w:b/>
                <w:bCs/>
                <w:color w:val="B22222"/>
                <w:sz w:val="20"/>
                <w:szCs w:val="20"/>
              </w:rPr>
              <w:t xml:space="preserve">[INSERTAR INTERPRETACIÓN: si los restaurantes en zonas densas dependen más o menos del delivery, y qué puede explicar esa diferencia — ticket promedio, perfil del cliente, competencia de cocinas rápidas].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bCs/>
                <w:color w:val="B22222"/>
                <w:sz w:val="20"/>
                <w:szCs w:val="20"/>
              </w:rPr>
              <w:t xml:space="preserve">Gráfico de barras apiladas: mix de ventas promedio por canal (presencial / delivery / domicilio propio) — completar con datos reales.</w:t>
            </w:r>
          </w:p>
          <w:p>
            <w:pPr>
              <w:spacing w:after="60"/>
            </w:pPr>
            <w:r>
              <w:rPr>
                <w:rFonts w:ascii="Arial" w:cs="Arial" w:eastAsia="Arial" w:hAnsi="Arial"/>
                <w:b/>
                <w:bCs/>
                <w:color w:val="B22222"/>
                <w:sz w:val="20"/>
                <w:szCs w:val="20"/>
              </w:rPr>
              <w:t xml:space="preserve">Comparativo visual: '¿Cuál canal perciben como más rentable?' — torta o barras simples — completar con datos.</w:t>
            </w:r>
          </w:p>
          <w:p>
            <w:pPr>
              <w:spacing w:after="60"/>
            </w:pPr>
            <w:r>
              <w:rPr>
                <w:rFonts w:ascii="Arial" w:cs="Arial" w:eastAsia="Arial" w:hAnsi="Arial"/>
                <w:b w:val="false"/>
                <w:bCs w:val="false"/>
                <w:i w:val="false"/>
                <w:iCs w:val="false"/>
                <w:color w:val="1A1A1A"/>
                <w:sz w:val="20"/>
                <w:szCs w:val="20"/>
              </w:rPr>
              <w:t xml:space="preserve">Ícono de Rappi + DiDi + UberEats con indicadores de adopción.</w:t>
            </w:r>
          </w:p>
          <w:p>
            <w:pPr>
              <w:spacing w:after="60"/>
            </w:pPr>
            <w:r>
              <w:rPr>
                <w:rFonts w:ascii="Arial" w:cs="Arial" w:eastAsia="Arial" w:hAnsi="Arial"/>
                <w:b w:val="false"/>
                <w:bCs w:val="false"/>
                <w:i w:val="false"/>
                <w:iCs w:val="false"/>
                <w:color w:val="1A1A1A"/>
                <w:sz w:val="20"/>
                <w:szCs w:val="20"/>
              </w:rPr>
              <w:t xml:space="preserve">Dato llamativo en grande: porcentaje que accede vs. usa datos de plataformas.</w:t>
            </w:r>
          </w:p>
          <w:p>
            <w:pPr>
              <w:spacing w:after="60"/>
            </w:pPr>
            <w:r>
              <w:rPr>
                <w:rFonts w:ascii="Arial" w:cs="Arial" w:eastAsia="Arial" w:hAnsi="Arial"/>
                <w:b w:val="false"/>
                <w:bCs w:val="false"/>
                <w:i w:val="false"/>
                <w:iCs w:val="false"/>
                <w:color w:val="1A1A1A"/>
                <w:sz w:val="20"/>
                <w:szCs w:val="20"/>
              </w:rPr>
              <w:t xml:space="preserve">HETEROGENEIDAD GEOGRÁFICA — Mapa de Bogotá (igual base que E5) ahora con colores según nivel IDL. Las zonas concentradas sombreadas.</w:t>
            </w:r>
          </w:p>
          <w:p>
            <w:pPr>
              <w:spacing w:after="60"/>
            </w:pPr>
            <w:r>
              <w:rPr>
                <w:rFonts w:ascii="Arial" w:cs="Arial" w:eastAsia="Arial" w:hAnsi="Arial"/>
                <w:b/>
                <w:bCs/>
                <w:color w:val="B22222"/>
                <w:sz w:val="20"/>
                <w:szCs w:val="20"/>
              </w:rPr>
              <w:t xml:space="preserve">Barras comparativas lado a lado: IDL promedio zona concentrada [DATO] vs. zona dispersa [DATO]. Añadir una línea de texto breve que explique la diferencia.</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Barras apiladas de mix de ventas + comparativo de rentabilidad percibida.</w:t>
            </w:r>
          </w:p>
          <w:p>
            <w:pPr>
              <w:spacing w:after="60"/>
            </w:pPr>
            <w:r>
              <w:rPr>
                <w:rFonts w:ascii="Arial" w:cs="Arial" w:eastAsia="Arial" w:hAnsi="Arial"/>
                <w:b w:val="false"/>
                <w:bCs w:val="false"/>
                <w:i w:val="false"/>
                <w:iCs w:val="false"/>
                <w:color w:val="1A1A1A"/>
                <w:sz w:val="20"/>
                <w:szCs w:val="20"/>
              </w:rPr>
              <w:t xml:space="preserve">NUEVO — Misma base de mapa que E5, reutilizada con colores para IDL. Esto crea consistencia visual y muestra que el análisis geográfico es transversal a los tres ejes.</w:t>
            </w:r>
          </w:p>
          <w:p>
            <w:pPr>
              <w:spacing w:after="60"/>
            </w:pPr>
            <w:r>
              <w:rPr>
                <w:rFonts w:ascii="Arial" w:cs="Arial" w:eastAsia="Arial" w:hAnsi="Arial"/>
                <w:b w:val="false"/>
                <w:bCs w:val="false"/>
                <w:i w:val="false"/>
                <w:iCs w:val="false"/>
                <w:color w:val="1A1A1A"/>
                <w:sz w:val="20"/>
                <w:szCs w:val="20"/>
              </w:rPr>
              <w:t xml:space="preserve">Panel comparativo zona concentrada vs. dispersa.</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Énfasis en la brecha entre 'acceso a datos' vs. 'uso de datos': es el insight más estratégico de este eje.</w:t>
            </w:r>
          </w:p>
          <w:p>
            <w:pPr>
              <w:spacing w:after="60"/>
            </w:pPr>
            <w:r>
              <w:rPr>
                <w:rFonts w:ascii="Arial" w:cs="Arial" w:eastAsia="Arial" w:hAnsi="Arial"/>
                <w:b w:val="false"/>
                <w:bCs w:val="false"/>
                <w:i w:val="false"/>
                <w:iCs w:val="false"/>
                <w:color w:val="1A1A1A"/>
                <w:sz w:val="20"/>
                <w:szCs w:val="20"/>
              </w:rPr>
              <w:t xml:space="preserve">Al llegar al mapa, indicar explícitamente que es la misma ciudad pero ahora vista desde el delivery: el evaluador verá el patrón geográfico evolucionar a través de los tres ejes.</w:t>
            </w:r>
          </w:p>
          <w:p>
            <w:pPr>
              <w:spacing w:after="60"/>
            </w:pPr>
            <w:r>
              <w:rPr>
                <w:rFonts w:ascii="Arial" w:cs="Arial" w:eastAsia="Arial" w:hAnsi="Arial"/>
                <w:b w:val="false"/>
                <w:bCs w:val="false"/>
                <w:i w:val="false"/>
                <w:iCs w:val="false"/>
                <w:color w:val="1A1A1A"/>
                <w:sz w:val="20"/>
                <w:szCs w:val="20"/>
              </w:rPr>
              <w:t xml:space="preserve">Si la diferencia geográfica en IDL es pequeña, el narrador puede decirlo explícitamente: 'En delivery, la zona de la ciudad no parece marcar tanta diferencia como en redes sociales.' Eso también es un hallazgo.</w:t>
            </w:r>
          </w:p>
          <w:p>
            <w:pPr>
              <w:spacing w:after="60"/>
            </w:pPr>
            <w:r>
              <w:rPr>
                <w:rFonts w:ascii="Arial" w:cs="Arial" w:eastAsia="Arial" w:hAnsi="Arial"/>
                <w:b w:val="false"/>
                <w:bCs w:val="false"/>
                <w:i w:val="false"/>
                <w:iCs w:val="false"/>
                <w:color w:val="1A1A1A"/>
                <w:sz w:val="20"/>
                <w:szCs w:val="20"/>
              </w:rPr>
              <w:t xml:space="preserve">Reemplazar todos los [DATO] con cifras reales.</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7  </w:t>
            </w:r>
            <w:r>
              <w:rPr>
                <w:rFonts w:ascii="Arial" w:cs="Arial" w:eastAsia="Arial" w:hAnsi="Arial"/>
                <w:b w:val="false"/>
                <w:bCs w:val="false"/>
                <w:color w:val="AABFDF"/>
                <w:sz w:val="22"/>
                <w:szCs w:val="22"/>
              </w:rPr>
              <w:t xml:space="preserve">4:05 – 4:55  </w:t>
            </w:r>
            <w:r>
              <w:rPr>
                <w:rFonts w:ascii="Arial" w:cs="Arial" w:eastAsia="Arial" w:hAnsi="Arial"/>
                <w:b/>
                <w:bCs/>
                <w:color w:val="FFFFFF"/>
                <w:sz w:val="22"/>
                <w:szCs w:val="22"/>
              </w:rPr>
              <w:t xml:space="preserve">— Resultados — Eje 3: Plataformas de Opinión (IPO)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El tercer eje —y quizás el más determinante para este nicho— es la gestión de reputación digital en Google Maps y TripAdvisor.</w:t>
            </w:r>
          </w:p>
          <w:p>
            <w:pPr>
              <w:spacing w:after="60"/>
            </w:pPr>
            <w:r>
              <w:rPr>
                <w:rFonts w:ascii="Arial" w:cs="Arial" w:eastAsia="Arial" w:hAnsi="Arial"/>
                <w:b w:val="false"/>
                <w:bCs w:val="false"/>
                <w:i w:val="false"/>
                <w:iCs w:val="false"/>
                <w:color w:val="1A1A1A"/>
                <w:sz w:val="20"/>
                <w:szCs w:val="20"/>
              </w:rPr>
              <w:t xml:space="preserve">Para la cocina mediterránea, cuya propuesta es menos familiar en Bogotá que la italiana o la japonesa, las reseñas cumplen una doble función: primero presentan el restaurante, luego lo legitiman.</w:t>
            </w:r>
          </w:p>
          <w:p>
            <w:pPr>
              <w:spacing w:after="60"/>
            </w:pPr>
            <w:r>
              <w:rPr>
                <w:rFonts w:ascii="Arial" w:cs="Arial" w:eastAsia="Arial" w:hAnsi="Arial"/>
                <w:b w:val="false"/>
                <w:bCs w:val="false"/>
                <w:i w:val="false"/>
                <w:iCs w:val="false"/>
                <w:color w:val="1A1A1A"/>
                <w:sz w:val="20"/>
                <w:szCs w:val="20"/>
              </w:rPr>
              <w:t xml:space="preserve">El Índice de Plataformas de Opinión combina datos de la encuesta con observación directa: número de reseñas, calificación promedio y presencia activa en ambas plataformas.</w:t>
            </w:r>
          </w:p>
          <w:p>
            <w:pPr>
              <w:spacing w:after="60"/>
            </w:pPr>
            <w:r>
              <w:rPr>
                <w:rFonts w:ascii="Arial" w:cs="Arial" w:eastAsia="Arial" w:hAnsi="Arial"/>
                <w:b/>
                <w:bCs/>
                <w:color w:val="B22222"/>
                <w:sz w:val="20"/>
                <w:szCs w:val="20"/>
              </w:rPr>
              <w:t xml:space="preserve">El promedio de reseñas en Google Maps por restaurante es de [DATO], con una calificación promedio de [DATO] estrellas.</w:t>
            </w:r>
          </w:p>
          <w:p>
            <w:pPr>
              <w:spacing w:after="60"/>
            </w:pPr>
            <w:r>
              <w:rPr>
                <w:rFonts w:ascii="Arial" w:cs="Arial" w:eastAsia="Arial" w:hAnsi="Arial"/>
                <w:b/>
                <w:bCs/>
                <w:color w:val="B22222"/>
                <w:sz w:val="20"/>
                <w:szCs w:val="20"/>
              </w:rPr>
              <w:t xml:space="preserve">[DATO] % de los restaurantes tiene perfil activo en TripAdvisor.</w:t>
            </w:r>
          </w:p>
          <w:p>
            <w:pPr>
              <w:spacing w:after="60"/>
            </w:pPr>
            <w:r>
              <w:rPr>
                <w:rFonts w:ascii="Arial" w:cs="Arial" w:eastAsia="Arial" w:hAnsi="Arial"/>
                <w:b/>
                <w:bCs/>
                <w:color w:val="B22222"/>
                <w:sz w:val="20"/>
                <w:szCs w:val="20"/>
              </w:rPr>
              <w:t xml:space="preserve">En términos del IPO: [DATO] % tiene un índice BAJO, [DATO] % MEDIO y [DATO] % ALTO.</w:t>
            </w:r>
          </w:p>
          <w:p>
            <w:pPr>
              <w:spacing w:after="60"/>
            </w:pPr>
            <w:r>
              <w:rPr>
                <w:rFonts w:ascii="Arial" w:cs="Arial" w:eastAsia="Arial" w:hAnsi="Arial"/>
                <w:b w:val="false"/>
                <w:bCs w:val="false"/>
                <w:i w:val="false"/>
                <w:iCs w:val="false"/>
                <w:color w:val="1A1A1A"/>
                <w:sz w:val="20"/>
                <w:szCs w:val="20"/>
              </w:rPr>
              <w:t xml:space="preserve">Aquí la geografía cobra especial relevancia. Los restaurantes en zonas turísticas y de alta concentración gastronómica acumulan más tráfico de visitantes —y por tanto, más oportunidades de reseña.</w:t>
            </w:r>
          </w:p>
          <w:p>
            <w:pPr>
              <w:spacing w:after="60"/>
            </w:pPr>
            <w:r>
              <w:rPr>
                <w:rFonts w:ascii="Arial" w:cs="Arial" w:eastAsia="Arial" w:hAnsi="Arial"/>
                <w:b/>
                <w:bCs/>
                <w:color w:val="B22222"/>
                <w:sz w:val="20"/>
                <w:szCs w:val="20"/>
              </w:rPr>
              <w:t xml:space="preserve">Los restaurantes en zonas concentradas tienen en promedio [DATO] reseñas en Google Maps, frente a [DATO] en zonas dispersas. Su IPO promedio es [DATO] vs. [DATO].</w:t>
            </w:r>
          </w:p>
          <w:p>
            <w:pPr>
              <w:spacing w:after="60"/>
            </w:pPr>
            <w:r>
              <w:rPr>
                <w:rFonts w:ascii="Arial" w:cs="Arial" w:eastAsia="Arial" w:hAnsi="Arial"/>
                <w:b/>
                <w:bCs/>
                <w:color w:val="B22222"/>
                <w:sz w:val="20"/>
                <w:szCs w:val="20"/>
              </w:rPr>
              <w:t xml:space="preserve">[INSERTAR INTERPRETACIÓN: si la brecha es significativa, plantear si esto es efecto de mayor visibilidad en zonas densas, mayor flujo de clientes, o mayor experiencia digital de los propietarios de esas zonas].</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Captura estilizada de perfiles de Google Maps de restaurantes mediterráneos bogotanos.</w:t>
            </w:r>
          </w:p>
          <w:p>
            <w:pPr>
              <w:spacing w:after="60"/>
            </w:pPr>
            <w:r>
              <w:rPr>
                <w:rFonts w:ascii="Arial" w:cs="Arial" w:eastAsia="Arial" w:hAnsi="Arial"/>
                <w:b/>
                <w:bCs/>
                <w:color w:val="B22222"/>
                <w:sz w:val="20"/>
                <w:szCs w:val="20"/>
              </w:rPr>
              <w:t xml:space="preserve">Gráfico de dispersión o barras: número de reseñas vs. calificación promedio — completar con datos reales.</w:t>
            </w:r>
          </w:p>
          <w:p>
            <w:pPr>
              <w:spacing w:after="60"/>
            </w:pPr>
            <w:r>
              <w:rPr>
                <w:rFonts w:ascii="Arial" w:cs="Arial" w:eastAsia="Arial" w:hAnsi="Arial"/>
                <w:b/>
                <w:bCs/>
                <w:color w:val="B22222"/>
                <w:sz w:val="20"/>
                <w:szCs w:val="20"/>
              </w:rPr>
              <w:t xml:space="preserve">Indicador visual: % con perfil activo en TripAdvisor vs. sin perfil — completar con dato.</w:t>
            </w:r>
          </w:p>
          <w:p>
            <w:pPr>
              <w:spacing w:after="60"/>
            </w:pPr>
            <w:r>
              <w:rPr>
                <w:rFonts w:ascii="Arial" w:cs="Arial" w:eastAsia="Arial" w:hAnsi="Arial"/>
                <w:b w:val="false"/>
                <w:bCs w:val="false"/>
                <w:i w:val="false"/>
                <w:iCs w:val="false"/>
                <w:color w:val="1A1A1A"/>
                <w:sz w:val="20"/>
                <w:szCs w:val="20"/>
              </w:rPr>
              <w:t xml:space="preserve">Distribución IPO bajo / medio / alto en gráfico de torta o barras.</w:t>
            </w:r>
          </w:p>
          <w:p>
            <w:pPr>
              <w:spacing w:after="60"/>
            </w:pPr>
            <w:r>
              <w:rPr>
                <w:rFonts w:ascii="Arial" w:cs="Arial" w:eastAsia="Arial" w:hAnsi="Arial"/>
                <w:b w:val="false"/>
                <w:bCs w:val="false"/>
                <w:i w:val="false"/>
                <w:iCs w:val="false"/>
                <w:color w:val="1A1A1A"/>
                <w:sz w:val="20"/>
                <w:szCs w:val="20"/>
              </w:rPr>
              <w:t xml:space="preserve">HETEROGENEIDAD GEOGRÁFICA — Tercer mapa de Bogotá (misma base visual, ahora colores para IPO). Con los tres mapas del video (IRS / IDL / IPO), el evaluador verá cómo el perfil digital varía por zona en cada eje.</w:t>
            </w:r>
          </w:p>
          <w:p>
            <w:pPr>
              <w:spacing w:after="60"/>
            </w:pPr>
            <w:r>
              <w:rPr>
                <w:rFonts w:ascii="Arial" w:cs="Arial" w:eastAsia="Arial" w:hAnsi="Arial"/>
                <w:b/>
                <w:bCs/>
                <w:color w:val="B22222"/>
                <w:sz w:val="20"/>
                <w:szCs w:val="20"/>
              </w:rPr>
              <w:t xml:space="preserve">Comparativo de barras: número promedio de reseñas y calificación promedio — zona concentrada vs. zona dispersa. Anotar si la diferencia en calificación es estadísticamente relevante o marginal.</w:t>
            </w:r>
          </w:p>
          <w:p>
            <w:pPr>
              <w:spacing w:after="60"/>
            </w:pPr>
            <w:r>
              <w:rPr>
                <w:rFonts w:ascii="Arial" w:cs="Arial" w:eastAsia="Arial" w:hAnsi="Arial"/>
                <w:b w:val="false"/>
                <w:bCs w:val="false"/>
                <w:i w:val="false"/>
                <w:iCs w:val="false"/>
                <w:color w:val="1A1A1A"/>
                <w:sz w:val="20"/>
                <w:szCs w:val="20"/>
              </w:rPr>
              <w:t xml:space="preserve">Zoom en mapa a zonas de interés: Chapinero (Zona T/G), Usaquén — destacar la densidad de puntos y su nivel de IPO.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Capturas reales de Google Maps + distribución del índice IPO.</w:t>
            </w:r>
          </w:p>
          <w:p>
            <w:pPr>
              <w:spacing w:after="60"/>
            </w:pPr>
            <w:r>
              <w:rPr>
                <w:rFonts w:ascii="Arial" w:cs="Arial" w:eastAsia="Arial" w:hAnsi="Arial"/>
                <w:b w:val="false"/>
                <w:bCs w:val="false"/>
                <w:i w:val="false"/>
                <w:iCs w:val="false"/>
                <w:color w:val="1A1A1A"/>
                <w:sz w:val="20"/>
                <w:szCs w:val="20"/>
              </w:rPr>
              <w:t xml:space="preserve">NUEVO — Tercer mapa de la serie geográfica transversal (IRS → IDL → IPO). Al llegar aquí, se puede hacer un mini-montaje rápido mostrando los tres mapas en secuencia para cerrar el argumento geográfico.</w:t>
            </w:r>
          </w:p>
          <w:p>
            <w:pPr>
              <w:spacing w:after="60"/>
            </w:pPr>
            <w:r>
              <w:rPr>
                <w:rFonts w:ascii="Arial" w:cs="Arial" w:eastAsia="Arial" w:hAnsi="Arial"/>
                <w:b w:val="false"/>
                <w:bCs w:val="false"/>
                <w:i w:val="false"/>
                <w:iCs w:val="false"/>
                <w:color w:val="1A1A1A"/>
                <w:sz w:val="20"/>
                <w:szCs w:val="20"/>
              </w:rPr>
              <w:t xml:space="preserve">Zoom en mapa a zonas específicas de Bogotá.</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Este eje merece énfasis especial: es el que mejor explica por qué el nicho mediterráneo tiene dinámicas distintas.</w:t>
            </w:r>
          </w:p>
          <w:p>
            <w:pPr>
              <w:spacing w:after="60"/>
            </w:pPr>
            <w:r>
              <w:rPr>
                <w:rFonts w:ascii="Arial" w:cs="Arial" w:eastAsia="Arial" w:hAnsi="Arial"/>
                <w:b w:val="false"/>
                <w:bCs w:val="false"/>
                <w:i w:val="false"/>
                <w:iCs w:val="false"/>
                <w:color w:val="1A1A1A"/>
                <w:sz w:val="20"/>
                <w:szCs w:val="20"/>
              </w:rPr>
              <w:t xml:space="preserve">Al finalizar los tres ejes, el narrador puede hacer un cierre geográfico breve: 'En los tres índices, la zona de la ciudad emerge como una variable que diferencia el nivel de adopción digital — y ese patrón es uno de los hallazgos más concretos de este estudio.'</w:t>
            </w:r>
          </w:p>
          <w:p>
            <w:pPr>
              <w:spacing w:after="60"/>
            </w:pPr>
            <w:r>
              <w:rPr>
                <w:rFonts w:ascii="Arial" w:cs="Arial" w:eastAsia="Arial" w:hAnsi="Arial"/>
                <w:b w:val="false"/>
                <w:bCs w:val="false"/>
                <w:i w:val="false"/>
                <w:iCs w:val="false"/>
                <w:color w:val="1A1A1A"/>
                <w:sz w:val="20"/>
                <w:szCs w:val="20"/>
              </w:rPr>
              <w:t xml:space="preserve">Ese cierre conecta directamente con la escena de IA y con el cierre final.</w:t>
            </w:r>
          </w:p>
          <w:p>
            <w:pPr>
              <w:spacing w:after="60"/>
            </w:pPr>
            <w:r>
              <w:rPr>
                <w:rFonts w:ascii="Arial" w:cs="Arial" w:eastAsia="Arial" w:hAnsi="Arial"/>
                <w:b w:val="false"/>
                <w:bCs w:val="false"/>
                <w:i w:val="false"/>
                <w:iCs w:val="false"/>
                <w:color w:val="1A1A1A"/>
                <w:sz w:val="20"/>
                <w:szCs w:val="20"/>
              </w:rPr>
              <w:t xml:space="preserve">Reemplazar todos los [DATO] con cifras reales.</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8  </w:t>
            </w:r>
            <w:r>
              <w:rPr>
                <w:rFonts w:ascii="Arial" w:cs="Arial" w:eastAsia="Arial" w:hAnsi="Arial"/>
                <w:b w:val="false"/>
                <w:bCs w:val="false"/>
                <w:color w:val="AABFDF"/>
                <w:sz w:val="22"/>
                <w:szCs w:val="22"/>
              </w:rPr>
              <w:t xml:space="preserve">4:55 – 5:30  </w:t>
            </w:r>
            <w:r>
              <w:rPr>
                <w:rFonts w:ascii="Arial" w:cs="Arial" w:eastAsia="Arial" w:hAnsi="Arial"/>
                <w:b/>
                <w:bCs/>
                <w:color w:val="FFFFFF"/>
                <w:sz w:val="22"/>
                <w:szCs w:val="22"/>
              </w:rPr>
              <w:t xml:space="preserve">— IA y perspectiva futura</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Más allá del estado actual, el estudio exploró cómo perciben los propietarios el papel de la inteligencia artificial en su posicionamiento futuro.</w:t>
            </w:r>
          </w:p>
          <w:p>
            <w:pPr>
              <w:spacing w:after="60"/>
            </w:pPr>
            <w:r>
              <w:rPr>
                <w:rFonts w:ascii="Arial" w:cs="Arial" w:eastAsia="Arial" w:hAnsi="Arial"/>
                <w:b/>
                <w:bCs/>
                <w:color w:val="B22222"/>
                <w:sz w:val="20"/>
                <w:szCs w:val="20"/>
              </w:rPr>
              <w:t xml:space="preserve">[DATO] % ya utiliza alguna herramienta de IA para apoyar su negocio —como ChatGPT, Canva AI o publicidad algorítmica optimizada.</w:t>
            </w:r>
          </w:p>
          <w:p>
            <w:pPr>
              <w:spacing w:after="60"/>
            </w:pPr>
            <w:r>
              <w:rPr>
                <w:rFonts w:ascii="Arial" w:cs="Arial" w:eastAsia="Arial" w:hAnsi="Arial"/>
                <w:b/>
                <w:bCs/>
                <w:color w:val="B22222"/>
                <w:sz w:val="20"/>
                <w:szCs w:val="20"/>
              </w:rPr>
              <w:t xml:space="preserve">Cuando se les pregunta qué aplicación de IA les interesaría más adoptar, la respuesta más frecuente es: [DATO].</w:t>
            </w:r>
          </w:p>
          <w:p>
            <w:pPr>
              <w:spacing w:after="60"/>
            </w:pPr>
            <w:r>
              <w:rPr>
                <w:rFonts w:ascii="Arial" w:cs="Arial" w:eastAsia="Arial" w:hAnsi="Arial"/>
                <w:b/>
                <w:bCs/>
                <w:color w:val="B22222"/>
                <w:sz w:val="20"/>
                <w:szCs w:val="20"/>
              </w:rPr>
              <w:t xml:space="preserve">Y cuando se les pregunta qué factor será más determinante para posicionarse en el nicho en los próximos años, [DATO] % señala presencia y reputación digital.</w:t>
            </w:r>
          </w:p>
          <w:p>
            <w:pPr>
              <w:spacing w:after="60"/>
            </w:pPr>
            <w:r>
              <w:rPr>
                <w:rFonts w:ascii="Arial" w:cs="Arial" w:eastAsia="Arial" w:hAnsi="Arial"/>
                <w:b w:val="false"/>
                <w:bCs w:val="false"/>
                <w:i w:val="false"/>
                <w:iCs w:val="false"/>
                <w:color w:val="1A1A1A"/>
                <w:sz w:val="20"/>
                <w:szCs w:val="20"/>
              </w:rPr>
              <w:t xml:space="preserve">La inteligencia artificial ya no es ciencia ficción para estos restaurantes. Pero la brecha entre intención y adopción real sigue siendo significativa.</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bCs/>
                <w:color w:val="B22222"/>
                <w:sz w:val="20"/>
                <w:szCs w:val="20"/>
              </w:rPr>
              <w:t xml:space="preserve">Gráfico de barras horizontales: herramientas de IA más usadas (ChatGPT, Canva AI, Meta Advantage+, etc.) — completar con datos.</w:t>
            </w:r>
          </w:p>
          <w:p>
            <w:pPr>
              <w:spacing w:after="60"/>
            </w:pPr>
            <w:r>
              <w:rPr>
                <w:rFonts w:ascii="Arial" w:cs="Arial" w:eastAsia="Arial" w:hAnsi="Arial"/>
                <w:b/>
                <w:bCs/>
                <w:color w:val="B22222"/>
                <w:sz w:val="20"/>
                <w:szCs w:val="20"/>
              </w:rPr>
              <w:t xml:space="preserve">Gráfico de preferencias: '¿Qué aplicación de IA adoptaría?' (generación de contenido / responder reseñas / pauta optimizada / análisis de datos) — completar con datos.</w:t>
            </w:r>
          </w:p>
          <w:p>
            <w:pPr>
              <w:spacing w:after="60"/>
            </w:pPr>
            <w:r>
              <w:rPr>
                <w:rFonts w:ascii="Arial" w:cs="Arial" w:eastAsia="Arial" w:hAnsi="Arial"/>
                <w:b/>
                <w:bCs/>
                <w:color w:val="B22222"/>
                <w:sz w:val="20"/>
                <w:szCs w:val="20"/>
              </w:rPr>
              <w:t xml:space="preserve">Factor más determinante para posicionamiento futuro — gráfico de barras o resultado destacado — completar con dato.</w:t>
            </w:r>
          </w:p>
          <w:p>
            <w:pPr>
              <w:spacing w:after="60"/>
            </w:pPr>
            <w:r>
              <w:rPr>
                <w:rFonts w:ascii="Arial" w:cs="Arial" w:eastAsia="Arial" w:hAnsi="Arial"/>
                <w:b w:val="false"/>
                <w:bCs w:val="false"/>
                <w:i w:val="false"/>
                <w:iCs w:val="false"/>
                <w:color w:val="1A1A1A"/>
                <w:sz w:val="20"/>
                <w:szCs w:val="20"/>
              </w:rPr>
              <w:t xml:space="preserve">Ícono de cerebro o robot en tono dorado sobre fondo azul oscuro.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Barras horizontales de adopción de IA + gráfico de preferencias + dato de perspectiva futura resaltado.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Tono: entre lo analítico y lo prospectivo. La frase sobre la brecha 'intención vs. adopción real' debe tener pausa antes y énfasis vocal. Esta escena conecta con el cierre.</w:t>
            </w:r>
          </w:p>
        </w:tc>
      </w:tr>
    </w:tbl>
    <w:p>
      <w:pPr>
        <w:spacing w:after="2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800"/>
        <w:gridCol w:w="7560"/>
      </w:tblGrid>
      <w:tr>
        <w:tc>
          <w:tcPr>
            <w:tcW w:type="dxa" w:w="9360"/>
            <w:gridSpan w:val="3"/>
            <w:tcBorders>
              <w:top w:val="none" w:color="FFFFFF" w:sz="0"/>
              <w:left w:val="none" w:color="FFFFFF" w:sz="0"/>
              <w:bottom w:val="none" w:color="FFFFFF" w:sz="0"/>
              <w:right w:val="none" w:color="FFFFFF" w:sz="0"/>
            </w:tcBorders>
            <w:shd w:fill="1B3A6B" w:val="clear"/>
            <w:tcMar>
              <w:top w:type="dxa" w:w="120"/>
              <w:left w:type="dxa" w:w="200"/>
              <w:bottom w:type="dxa" w:w="120"/>
              <w:right w:type="dxa" w:w="200"/>
            </w:tcMar>
          </w:tcPr>
          <w:p>
            <w:r>
              <w:rPr>
                <w:rFonts w:ascii="Arial" w:cs="Arial" w:eastAsia="Arial" w:hAnsi="Arial"/>
                <w:b/>
                <w:bCs/>
                <w:color w:val="C9A84C"/>
                <w:sz w:val="22"/>
                <w:szCs w:val="22"/>
              </w:rPr>
              <w:t xml:space="preserve">ESCENA 9  </w:t>
            </w:r>
            <w:r>
              <w:rPr>
                <w:rFonts w:ascii="Arial" w:cs="Arial" w:eastAsia="Arial" w:hAnsi="Arial"/>
                <w:b w:val="false"/>
                <w:bCs w:val="false"/>
                <w:color w:val="AABFDF"/>
                <w:sz w:val="22"/>
                <w:szCs w:val="22"/>
              </w:rPr>
              <w:t xml:space="preserve">5:30 – 6:10  </w:t>
            </w:r>
            <w:r>
              <w:rPr>
                <w:rFonts w:ascii="Arial" w:cs="Arial" w:eastAsia="Arial" w:hAnsi="Arial"/>
                <w:b/>
                <w:bCs/>
                <w:color w:val="FFFFFF"/>
                <w:sz w:val="22"/>
                <w:szCs w:val="22"/>
              </w:rPr>
              <w:t xml:space="preserve">— Cierre y reflexión final</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Narración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El nicho de restaurantes mediterráneos en Bogotá está en transición digital. No todos están en el mismo punto, pero la dirección es clara.</w:t>
            </w:r>
          </w:p>
          <w:p>
            <w:pPr>
              <w:spacing w:after="60"/>
            </w:pPr>
            <w:r>
              <w:rPr>
                <w:rFonts w:ascii="Arial" w:cs="Arial" w:eastAsia="Arial" w:hAnsi="Arial"/>
                <w:b w:val="false"/>
                <w:bCs w:val="false"/>
                <w:i w:val="false"/>
                <w:iCs w:val="false"/>
                <w:color w:val="1A1A1A"/>
                <w:sz w:val="20"/>
                <w:szCs w:val="20"/>
              </w:rPr>
              <w:t xml:space="preserve">Las plataformas de reseñas son el canal donde se gana o se pierde la primera impresión. Las redes sociales construyen narrativa e identidad. Y el delivery genera datos que, bien usados, informan estrategia.</w:t>
            </w:r>
          </w:p>
          <w:p>
            <w:pPr>
              <w:spacing w:after="60"/>
            </w:pPr>
            <w:r>
              <w:rPr>
                <w:rFonts w:ascii="Arial" w:cs="Arial" w:eastAsia="Arial" w:hAnsi="Arial"/>
                <w:b w:val="false"/>
                <w:bCs w:val="false"/>
                <w:i w:val="false"/>
                <w:iCs w:val="false"/>
                <w:color w:val="1A1A1A"/>
                <w:sz w:val="20"/>
                <w:szCs w:val="20"/>
              </w:rPr>
              <w:t xml:space="preserve">Pero lo que el estudio muestra con mayor fuerza es esto: ninguna de estas tecnologías funciona sola. El posicionamiento digital efectivo surge de la combinación coherente de los tres ejes.</w:t>
            </w:r>
          </w:p>
          <w:p>
            <w:pPr>
              <w:spacing w:after="60"/>
            </w:pPr>
            <w:r>
              <w:rPr>
                <w:rFonts w:ascii="Arial" w:cs="Arial" w:eastAsia="Arial" w:hAnsi="Arial"/>
                <w:b w:val="false"/>
                <w:bCs w:val="false"/>
                <w:i w:val="false"/>
                <w:iCs w:val="false"/>
                <w:color w:val="1A1A1A"/>
                <w:sz w:val="20"/>
                <w:szCs w:val="20"/>
              </w:rPr>
              <w:t xml:space="preserve">Y hay un patrón transversal que recorre los tres: la zona de la ciudad importa. Los restaurantes en zonas de alta concentración gastronómica —Zona T, Zona G, Usaquén— muestran niveles de adopción digital consistentemente distintos a los de zonas más dispersas. La competencia de proximidad activa el posicionamiento digital.</w:t>
            </w:r>
          </w:p>
          <w:p>
            <w:pPr>
              <w:spacing w:after="60"/>
            </w:pPr>
            <w:r>
              <w:rPr>
                <w:rFonts w:ascii="Arial" w:cs="Arial" w:eastAsia="Arial" w:hAnsi="Arial"/>
                <w:b w:val="false"/>
                <w:bCs w:val="false"/>
                <w:i w:val="false"/>
                <w:iCs w:val="false"/>
                <w:color w:val="1A1A1A"/>
                <w:sz w:val="20"/>
                <w:szCs w:val="20"/>
              </w:rPr>
              <w:t xml:space="preserve">En ese camino, la inteligencia artificial empieza a asomarse como la próxima palanca de diferenciación.</w:t>
            </w:r>
          </w:p>
          <w:p>
            <w:pPr>
              <w:spacing w:after="60"/>
            </w:pPr>
            <w:r>
              <w:rPr>
                <w:rFonts w:ascii="Arial" w:cs="Arial" w:eastAsia="Arial" w:hAnsi="Arial"/>
                <w:b w:val="false"/>
                <w:bCs w:val="false"/>
                <w:i w:val="false"/>
                <w:iCs w:val="false"/>
                <w:color w:val="1A1A1A"/>
                <w:sz w:val="20"/>
                <w:szCs w:val="20"/>
              </w:rPr>
              <w:t xml:space="preserve">Este proyecto es un primer mapa de ese ecosistema — en el sentido más literal de la palabra. Un punto de partida para entender cómo compiten —y cómo pueden competir mejor— los restaurantes mediterráneos en una ciudad que come cada vez más con el teléfono en la mano.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Visual en pantalla</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Diagrama de síntesis: los tres ejes (Reseñas / Redes / Delivery) convergiendo en un centro etiquetado 'Posicionamiento Digital Efectivo'.</w:t>
            </w:r>
          </w:p>
          <w:p>
            <w:pPr>
              <w:spacing w:after="60"/>
            </w:pPr>
            <w:r>
              <w:rPr>
                <w:rFonts w:ascii="Arial" w:cs="Arial" w:eastAsia="Arial" w:hAnsi="Arial"/>
                <w:b w:val="false"/>
                <w:bCs w:val="false"/>
                <w:i w:val="false"/>
                <w:iCs w:val="false"/>
                <w:color w:val="1A1A1A"/>
                <w:sz w:val="20"/>
                <w:szCs w:val="20"/>
              </w:rPr>
              <w:t xml:space="preserve">Transición suave al diagrama de Teoría del Cambio del proyecto (versión simplificada): Supuestos → Estrategias → Resultados.</w:t>
            </w:r>
          </w:p>
          <w:p>
            <w:pPr>
              <w:spacing w:after="60"/>
            </w:pPr>
            <w:r>
              <w:rPr>
                <w:rFonts w:ascii="Arial" w:cs="Arial" w:eastAsia="Arial" w:hAnsi="Arial"/>
                <w:b w:val="false"/>
                <w:bCs w:val="false"/>
                <w:i w:val="false"/>
                <w:iCs w:val="false"/>
                <w:color w:val="1A1A1A"/>
                <w:sz w:val="20"/>
                <w:szCs w:val="20"/>
              </w:rPr>
              <w:t xml:space="preserve">Plano final: fondo oscuro con el nombre del proyecto, universidad y año. Fade out con la pregunta de investigación en pequeño.</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Tipo de recurso</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Diagrama de convergencia de los tres ejes + versión simplificada de la Teoría del Cambio + placa de cierre institucional.</w:t>
            </w:r>
          </w:p>
        </w:tc>
      </w:tr>
      <w:tr>
        <w:tc>
          <w:tcPr>
            <w:tcW w:type="dxa" w:w="1800"/>
            <w:tcBorders>
              <w:top w:val="single" w:color="C8D3E8" w:sz="1"/>
              <w:left w:val="single" w:color="C8D3E8" w:sz="1"/>
              <w:bottom w:val="single" w:color="C8D3E8" w:sz="1"/>
              <w:right w:val="single" w:color="C8D3E8" w:sz="1"/>
            </w:tcBorders>
            <w:shd w:fill="D9E4F0" w:val="clear"/>
            <w:tcMar>
              <w:top w:type="dxa" w:w="100"/>
              <w:left w:type="dxa" w:w="140"/>
              <w:bottom w:type="dxa" w:w="100"/>
              <w:right w:type="dxa" w:w="140"/>
            </w:tcMar>
          </w:tcPr>
          <w:p>
            <w:r>
              <w:rPr>
                <w:rFonts w:ascii="Arial" w:cs="Arial" w:eastAsia="Arial" w:hAnsi="Arial"/>
                <w:b/>
                <w:bCs/>
                <w:color w:val="1B3A6B"/>
                <w:sz w:val="20"/>
                <w:szCs w:val="20"/>
              </w:rPr>
              <w:t xml:space="preserve">Notas de dirección</w:t>
            </w:r>
          </w:p>
        </w:tc>
        <w:tc>
          <w:tcPr>
            <w:tcW w:type="dxa" w:w="7560"/>
            <w:tcBorders>
              <w:top w:val="single" w:color="C8D3E8" w:sz="1"/>
              <w:left w:val="single" w:color="C8D3E8" w:sz="1"/>
              <w:bottom w:val="single" w:color="C8D3E8" w:sz="1"/>
              <w:right w:val="single" w:color="C8D3E8" w:sz="1"/>
            </w:tcBorders>
            <w:shd w:fill="F2F5FA" w:val="clear"/>
            <w:tcMar>
              <w:top w:type="dxa" w:w="100"/>
              <w:left w:type="dxa" w:w="140"/>
              <w:bottom w:type="dxa" w:w="100"/>
              <w:right w:type="dxa" w:w="140"/>
            </w:tcMar>
          </w:tcPr>
          <w:p>
            <w:pPr>
              <w:spacing w:after="60"/>
            </w:pPr>
            <w:r>
              <w:rPr>
                <w:rFonts w:ascii="Arial" w:cs="Arial" w:eastAsia="Arial" w:hAnsi="Arial"/>
                <w:b w:val="false"/>
                <w:bCs w:val="false"/>
                <w:i w:val="false"/>
                <w:iCs w:val="false"/>
                <w:color w:val="1A1A1A"/>
                <w:sz w:val="20"/>
                <w:szCs w:val="20"/>
              </w:rPr>
              <w:t xml:space="preserve">Ritmo más lento y reflexivo en las últimas dos frases. La última frase —'una ciudad que come cada vez más con el teléfono en la mano'— es el remate emocional del video: debe tener impacto y cierre limpio.</w:t>
            </w:r>
          </w:p>
          <w:p>
            <w:pPr>
              <w:spacing w:after="60"/>
            </w:pPr>
            <w:r>
              <w:rPr>
                <w:rFonts w:ascii="Arial" w:cs="Arial" w:eastAsia="Arial" w:hAnsi="Arial"/>
                <w:b w:val="false"/>
                <w:bCs w:val="false"/>
                <w:i w:val="false"/>
                <w:iCs w:val="false"/>
                <w:color w:val="1A1A1A"/>
                <w:sz w:val="20"/>
                <w:szCs w:val="20"/>
              </w:rPr>
              <w:t xml:space="preserve">Música: sube muy suavemente al final, fade a silencio antes del plano institucional.</w:t>
            </w:r>
          </w:p>
          <w:p>
            <w:pPr>
              <w:spacing w:after="60"/>
            </w:pPr>
            <w:r>
              <w:rPr>
                <w:rFonts w:ascii="Arial" w:cs="Arial" w:eastAsia="Arial" w:hAnsi="Arial"/>
                <w:b w:val="false"/>
                <w:bCs w:val="false"/>
                <w:i w:val="false"/>
                <w:iCs w:val="false"/>
                <w:color w:val="1A1A1A"/>
                <w:sz w:val="20"/>
                <w:szCs w:val="20"/>
              </w:rPr>
              <w:t xml:space="preserve">Duración total estimada: 5 minutos 45 segundos.</w:t>
            </w:r>
          </w:p>
        </w:tc>
      </w:tr>
    </w:tbl>
    <w:p>
      <w:pPr>
        <w:spacing w:after="280"/>
      </w:pP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B3A6B"/>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2026-05-04T19:22:38.143Z</dcterms:created>
  <dcterms:modified xsi:type="dcterms:W3CDTF">2026-05-04T19:22:38.158Z</dcterms:modified>
</cp:coreProperties>
</file>

<file path=docProps/custom.xml><?xml version="1.0" encoding="utf-8"?>
<Properties xmlns="http://schemas.openxmlformats.org/officeDocument/2006/custom-properties" xmlns:vt="http://schemas.openxmlformats.org/officeDocument/2006/docPropsVTypes"/>
</file>