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4"/>
          <w:szCs w:val="44"/>
        </w:rPr>
        <w:t xml:space="preserve">CHECKLIST DE PRODUCCIÓN AUDIOVISUAL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5"/>
          <w:szCs w:val="25"/>
        </w:rPr>
        <w:t xml:space="preserve">Digitalización y Posicionamiento — Restaurantes Mediterráneos en Bogotá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Haciendo Economía 2026-1  ·  Universidad del Rosario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19"/>
                <w:szCs w:val="19"/>
              </w:rPr>
              <w:t xml:space="preserve">Este documento organiza en tres tablas todos los elementos necesarios para completar el video. La TABLA 1 lista las visualizaciones a generar con la base de datos. La TABLA 2 lista las imágenes e infografías de diseño. La TABLA 3 lista las estadísticas que hay que calcular para reemplazar cada [DATO] del guion. La columna ✓ se usa para marcar cada pieza al completarla.</w:t>
            </w:r>
          </w:p>
        </w:tc>
      </w:tr>
    </w:tbl>
    <w:p>
      <w:pP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220"/>
              <w:bottom w:type="dxa" w:w="100"/>
              <w:right w:type="dxa" w:w="220"/>
            </w:tcMar>
            <w:vAlign w:val="top"/>
          </w:tcPr>
          <w:p>
            <w:pPr>
              <w:spacing w:after="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TABLA 1 — VISUALIZACIONES DE DATOS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DDEE"/>
                <w:sz w:val="19"/>
                <w:szCs w:val="19"/>
              </w:rPr>
              <w:t xml:space="preserve">17 gráficos, mapas e indicadores que requieren la base de datos del estudio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19"/>
                <w:szCs w:val="19"/>
              </w:rPr>
              <w:t xml:space="preserve">Generar en R, Python, Flourish, Datawrapper o Excel una vez la base de datos esté completa y los índices calculados. Los tres mapas de Bogotá (filas 1, 9 y 11) comparten la misma base geográfica — producirlos en la misma sesión.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"/>
        <w:gridCol w:w="3500"/>
        <w:gridCol w:w="2400"/>
        <w:gridCol w:w="1600"/>
        <w:gridCol w:w="800"/>
      </w:tblGrid>
      <w:tr>
        <w:tc>
          <w:tcPr>
            <w:tcW w:type="dxa" w:w="48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Escena</w:t>
            </w:r>
          </w:p>
        </w:tc>
        <w:tc>
          <w:tcPr>
            <w:tcW w:type="dxa" w:w="35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 de la visualización</w:t>
            </w:r>
          </w:p>
        </w:tc>
        <w:tc>
          <w:tcPr>
            <w:tcW w:type="dxa" w:w="24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Variable(s) / Fuente</w:t>
            </w:r>
          </w:p>
        </w:tc>
        <w:tc>
          <w:tcPr>
            <w:tcW w:type="dxa" w:w="16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Herramienta sugerida</w:t>
            </w:r>
          </w:p>
        </w:tc>
        <w:tc>
          <w:tcPr>
            <w:tcW w:type="dxa" w:w="8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E2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Mapa de puntos georeferenciados: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 restaurantes en Bogotá, diferenciados por color según tipo de cocina. Los puntos se iluminan progresivamente.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Barrio + tipo cocina (P0a)
Coordenadas lat-lon por barrio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Flourish · Datawrapper
· QGIS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E4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Gráfico distribución de muestra: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proporción de restaurantes por tipo de cocina. Española 40% | Italiana 40% | Griega 17% | Mediterránea 3%. Dona o barras horizontales.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P0a — Tipo de cocina (n=35)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Excel · Canva · Flourish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E5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Indicador único — % inversión activa: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porcentaje de restaurantes que declaran invertir en marketing digital. Número grande en pantalla con denominador.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P4 — Inversión digital (Sí/No)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Canva · After Effects
(dato único)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E5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Barras horizontales — plataformas de pauta: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frecuencia de uso de cada plataforma (FB/IG Ads, Google Ads, TikTok Ads). Ordenadas de mayor a menor.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P5 — Plataformas publicidad
paga (categórica múltiple)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Flourish · Python
· Excel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E5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Dona — distribución IRS general: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proporción de restaurantes en nivel bajo / medio / alto. Rojo=bajo, amarillo=medio, verde=alto.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IRS calculado
(P4, P5, P6, P7, P8, P7b)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Flourish · Canva · Excel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E5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Barras apiladas — IRS por zona: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niveles IRS en zona de concentración (hot_zone=1) vs. zona dispersa (hot_zone=0). Referencia: dispersa 6.67% alto vs. concentrada 40% alto.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IRS calculado + variable
hot_zone (Zona T, G, Usaquén, P93)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Python (seaborn)
· R (ggplot2) · Flourish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E6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Barras apiladas — mix de ventas: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proporción promedio por canal (presencial / delivery plataformas / domicilio propio). Normalizado base 10.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P9 presencial + P10 delivery
+ P11 domicilio (normalizadas)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Flourish · Python · Excel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E6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Dos barras — brecha datos delivery: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 que accede a datos de plataformas vs. % que los usa activamente. El gap entre barras es el hallazgo central.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P12b — Acceso a datos
P12c — Uso para decisiones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Canva · Flourish · Excel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E6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Mapa Bogotá coloreado por IDL: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misma base de 35 puntos georeferenciados (E2), ahora coloreados según nivel de Índice de Delivery. Leyenda: rojo/amarillo/verde.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IDL calculado + barrio
(P8, P10, P12, P12b, P12c)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Flourish · QGIS
· Datawrapper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E7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Dona — distribución IPO: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proporción de restaurantes en nivel bajo / medio / alto del Índice de Plataformas de Opinión.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IPO calculado (P5, P8,
Obs. Google Maps, TripAdvisor, P13b)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Flourish · Canva · Excel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11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E7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Mapa Bogotá coloreado por IPO: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misma base georeferenciada, puntos coloreados por nivel IPO. Tercero de la serie geográfica transversal.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IPO calculado + barrio
(Obs. Google Maps, TripAdvisor, P5, P8, P13b)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Flourish · QGIS
· Datawrapper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12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E7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Mini-montaje — tres mapas en secuencia IRS → IDL → IPO: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tres mapas geográficos mostrados en transición rápida. Mismo fondo, misma leyenda, solo cambia el índice.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IRS + IDL + IPO calculados
+ barrio (los tres juntos)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Editor de video
(mapas exportados de E5/E6/E7)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13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E8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Indicador — % adopción IA activa: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porcentaje que ya usa alguna herramienta de IA. Número grande + lista de herramientas más mencionadas.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P7b + P7c + P13b
(al menos uno activo)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Canva · After Effects
(dato único + lista)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14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E8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Barras horizontales — P14 acciones futuras: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acciones digitales que los propietarios planean implementar en 12 meses. Ordenadas por frecuencia.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P14 — Acciones digitales
futuras (categórica múltiple)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Flourish · Python · Excel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15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E8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Barras — P16 factor determinante futuro: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factor más relevante para posicionamiento en los próximos años. Resultado más frecuente destacado en color.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P16 — Factor clave
posicionamiento futuro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Flourish · Canva · Excel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16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E8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Barras — P18 app de IA de mayor interés: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aplicación de IA que el propietario adoptaría con acceso fácil y económico. Barras horizontales ordenadas de mayor a menor.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P18 — App IA de mayor
interés (categórica nominal)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Flourish · Canva · Excel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17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9"/>
                <w:szCs w:val="19"/>
              </w:rPr>
              <w:t xml:space="preserve">E8</w:t>
            </w:r>
          </w:p>
        </w:tc>
        <w:tc>
          <w:tcPr>
            <w:tcW w:type="dxa" w:w="3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Brecha intención vs. adopción 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dos barras comparativas: % con intención de adoptar IA (P14) vs. % con uso efectivo actual (P7b+P7c+P13b). El gap es el hallazgo.</w:t>
            </w:r>
          </w:p>
        </w:tc>
        <w:tc>
          <w:tcPr>
            <w:tcW w:type="dxa" w:w="2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P14 + P7b + P7c + P13b
(cruce de variables)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4B5"/>
                <w:sz w:val="18"/>
                <w:szCs w:val="18"/>
              </w:rPr>
              <w:t xml:space="preserve">Canva · Excel · Flourish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220" w:before="2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A6B5C" w:sz="6"/>
              <w:left w:val="single" w:color="1A6B5C" w:sz="6"/>
              <w:bottom w:val="single" w:color="1A6B5C" w:sz="6"/>
              <w:right w:val="single" w:color="1A6B5C" w:sz="6"/>
            </w:tcBorders>
            <w:shd w:fill="1A6B5C" w:val="clear"/>
            <w:tcMar>
              <w:top w:type="dxa" w:w="100"/>
              <w:left w:type="dxa" w:w="220"/>
              <w:bottom w:type="dxa" w:w="100"/>
              <w:right w:type="dxa" w:w="220"/>
            </w:tcMar>
            <w:vAlign w:val="top"/>
          </w:tcPr>
          <w:p>
            <w:pPr>
              <w:spacing w:after="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TABLA 2 — IMÁGENES E INFOGRAFÍAS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DDEE"/>
                <w:sz w:val="19"/>
                <w:szCs w:val="19"/>
              </w:rPr>
              <w:t xml:space="preserve">17 piezas de diseño audiovisual que pueden producirse en paralelo al análisis de datos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19"/>
                <w:szCs w:val="19"/>
              </w:rPr>
              <w:t xml:space="preserve">Estas piezas no dependen de los datos del análisis estadístico y pueden comenzarse antes de tener los resultados. Las infografías de componentes (filas 10, 11 y 12) solo requieren conocer la estructura de los índices, ya definida en el plan de análisis.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"/>
        <w:gridCol w:w="3400"/>
        <w:gridCol w:w="1300"/>
        <w:gridCol w:w="2800"/>
        <w:gridCol w:w="800"/>
      </w:tblGrid>
      <w:tr>
        <w:tc>
          <w:tcPr>
            <w:tcW w:type="dxa" w:w="480"/>
            <w:gridSpan w:val="1"/>
            <w:tcBorders>
              <w:top w:val="single" w:color="1A6B5C" w:sz="6"/>
              <w:left w:val="single" w:color="1A6B5C" w:sz="6"/>
              <w:bottom w:val="single" w:color="1A6B5C" w:sz="6"/>
              <w:right w:val="single" w:color="1A6B5C" w:sz="6"/>
            </w:tcBorders>
            <w:shd w:fill="1A6B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"/>
            <w:gridSpan w:val="1"/>
            <w:tcBorders>
              <w:top w:val="single" w:color="1A6B5C" w:sz="6"/>
              <w:left w:val="single" w:color="1A6B5C" w:sz="6"/>
              <w:bottom w:val="single" w:color="1A6B5C" w:sz="6"/>
              <w:right w:val="single" w:color="1A6B5C" w:sz="6"/>
            </w:tcBorders>
            <w:shd w:fill="1A6B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Escena</w:t>
            </w:r>
          </w:p>
        </w:tc>
        <w:tc>
          <w:tcPr>
            <w:tcW w:type="dxa" w:w="3400"/>
            <w:gridSpan w:val="1"/>
            <w:tcBorders>
              <w:top w:val="single" w:color="1A6B5C" w:sz="6"/>
              <w:left w:val="single" w:color="1A6B5C" w:sz="6"/>
              <w:bottom w:val="single" w:color="1A6B5C" w:sz="6"/>
              <w:right w:val="single" w:color="1A6B5C" w:sz="6"/>
            </w:tcBorders>
            <w:shd w:fill="1A6B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 de la pieza</w:t>
            </w:r>
          </w:p>
        </w:tc>
        <w:tc>
          <w:tcPr>
            <w:tcW w:type="dxa" w:w="1300"/>
            <w:gridSpan w:val="1"/>
            <w:tcBorders>
              <w:top w:val="single" w:color="1A6B5C" w:sz="6"/>
              <w:left w:val="single" w:color="1A6B5C" w:sz="6"/>
              <w:bottom w:val="single" w:color="1A6B5C" w:sz="6"/>
              <w:right w:val="single" w:color="1A6B5C" w:sz="6"/>
            </w:tcBorders>
            <w:shd w:fill="1A6B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gridSpan w:val="1"/>
            <w:tcBorders>
              <w:top w:val="single" w:color="1A6B5C" w:sz="6"/>
              <w:left w:val="single" w:color="1A6B5C" w:sz="6"/>
              <w:bottom w:val="single" w:color="1A6B5C" w:sz="6"/>
              <w:right w:val="single" w:color="1A6B5C" w:sz="6"/>
            </w:tcBorders>
            <w:shd w:fill="1A6B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Contenido / Elementos clave</w:t>
            </w:r>
          </w:p>
        </w:tc>
        <w:tc>
          <w:tcPr>
            <w:tcW w:type="dxa" w:w="800"/>
            <w:gridSpan w:val="1"/>
            <w:tcBorders>
              <w:top w:val="single" w:color="1A6B5C" w:sz="6"/>
              <w:left w:val="single" w:color="1A6B5C" w:sz="6"/>
              <w:bottom w:val="single" w:color="1A6B5C" w:sz="6"/>
              <w:right w:val="single" w:color="1A6B5C" w:sz="6"/>
            </w:tcBorders>
            <w:shd w:fill="1A6B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E1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Toma 1 — Cocina activa: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plano de cocina mediterránea con chef emplatando. Ambiente cálido, iluminado. Video o foto stock con licencia libre.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Video / foto
stock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Chef en cocina. Platos representativos: hummus, gyros, pasta, paella. Iluminación cálida.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E1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Toma 2 — Búsqueda en Google Maps: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pantalla de teléfono mostrando resultados de 'restaurantes mediterráneos Bogotá' con estrellas y reseñas visibles.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Captura de
pantalla / stock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Resultados de búsqueda reales o stock. Estrellas, fotos en miniatura y calificaciones visibles.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E1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Toma 3 — Local vacío: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fachada o interior vacío de restaurante. Contrasta con la toma 1. La pregunta central del estudio aparece sobreimpuesta.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Video / foto
stock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Local vacío, luz baja. Pregunta del estudio en tipografía clara sobreimpuesta sobre el plano.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E1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Tipografía animada — pregunta central: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texto de la pregunta de investigación aparece sobre el plano vacío, palabra por palabra.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Motion graphics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Texto: '¿Qué tecnologías han transformado el posicionamiento de los restaurantes mediterráneos en Bogotá?' Fuente sans-serif, fondo oscuro.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5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E1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Placa institucional de apertura: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logo de la Universidad del Rosario + nombre del proyecto + Haciendo Economía 2026-1.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Diseño gráfico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Logo UR. Nombre del proyecto. Año 2026. Fondo azul institucional o negro.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6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E2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Infografía línea de tiempo 'Antes vs. Hoy':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dos momentos con íconos contrastantes mostrando la evolución del comportamiento del consumidor gastronómico.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Infografía
animada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ANTES: ícono ubicación, voz a voz, anuncio periódico. HOY: Google Maps, Instagram, TikTok, estrellas de reseña. Figura humana con teléfono en el centro.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7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E3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Infografía tres índices — 'boletín de calificaciones':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tres bloques diferenciados por color, uno por índice, con nombre, ícono, rango de puntuación y niveles.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Infografía
animada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IRS 📱: 0–14 pts (B:0-4 / M:5-9 / A:10-14). IDL 🛵: 0–10 pts (B:0-3 / M:4-6 / A:7-10). IPO ⭐: 0–18 pts (B:0-5 / M:6-11 / A:12-18). Aparecen progresivamente.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8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E4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Foto de campo — encuestador en restaurante: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imagen del encuestador con tablet o cuestionario frente a un restaurante mediterráneo en Bogotá.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Fotografía
propia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Encuestador con tablet frente a fachada de restaurante o sentado con el propietario. Contexto real de campo.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9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E4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Diagrama dos fuentes de datos: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columna izquierda = datos declarados (encuesta); columna derecha = datos observados (Google Maps + TripAdvisor); flecha central: 'Índices'.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Infografía
estática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Col. A: ícono cuestionario + bloques temáticos. Col. B: iconos Google Maps + TripAdvisor. Flecha central converge en IRS / IDL / IPO.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10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E5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Infografía 6 componentes del IRS: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desglose de los seis componentes del Índice de Redes Sociales con variable origen y puntaje máximo individual.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Infografía
animada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P4(1pt) · P5 redes(2pt) · P6 frecuencia(3pt) · P7 % ingresos(4pt) · P8 canal redes(1pt) · P7b IA en redes(3pt) → Total 14 pts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11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E6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Infografía 5 componentes del IDL: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desglose del Índice de Delivery con variables y puntajes. Misma estructura visual que E5 para coherencia.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Infografía
animada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P12c datos(2pt) · P8 canal delivery(2pt) · P10 % ventas(3pt) · P12 canal rentable(1pt) · P12b consulta datos(2pt) → Total 10 pts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12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E7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Infografía 8 componentes del IPO: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desglose del Índice de Plataformas de Opinión diferenciando fuente encuesta vs. observación directa.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Infografía
animada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P5 Google Ads(2pt) · P8 canal(2pt) · Obs.Reseñas Google(3pt) · Obs.Calificación Google(2pt) · Obs.TA presencia(1pt) · Obs.Reseñas TA(3pt) · Obs.Calif.TA(2pt) · P13b IA(3pt) → 18 pts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13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E7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Capturas reales de Google Maps: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screenshots estilizados de 2–3 perfiles de restaurantes mediterráneos incluidos en el estudio. Muestran lo que el consumidor ve.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Captura de
pantalla real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Perfil con nombre, calificación en estrellas, número de reseñas y fotos. Recortar para destacar estrellas y conteo de reseñas.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14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E8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Diagrama transversal IA en los tres índices: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esquema que muestra dónde aparece la IA dentro de cada índice (P7b en IRS, P13b en IPO, P7c transversal).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Infografía
estática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Tres bloques IRS/IDL/IPO con componentes. Los de IA resaltados en color diferente. P7c como elemento externo que cruza los tres.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15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E9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Diagrama triángulo convergente — síntesis final: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IRS, IDL e IPO como vértices. Flechas simultáneas hacia el centro: 'Posicionamiento Digital Efectivo'.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Infografía
animada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Triángulo con IRS(📱), IDL(🛵), IPO(⭐) en vértices. Flechas animadas simultáneas. Centro: 'Posicionamiento Digital Efectivo' con fondo destacado.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16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E9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Teoría del cambio simplificada: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flujo horizontal: Supuestos del consumidor → Estrategias digitales → Resultados (corto y largo plazo).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Infografía
estática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Bloque 1: busca en Google, descubre en redes, decide por reseñas. Bloque 2: gestión perfiles, pauta, delivery, contenido. Bloque 3: visibilidad → reputación → referente.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0"/>
                <w:szCs w:val="20"/>
              </w:rPr>
              <w:t xml:space="preserve">17</w:t>
            </w:r>
          </w:p>
        </w:tc>
        <w:tc>
          <w:tcPr>
            <w:tcW w:type="dxa" w:w="5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19"/>
                <w:szCs w:val="19"/>
              </w:rPr>
              <w:t xml:space="preserve">E9</w:t>
            </w:r>
          </w:p>
        </w:tc>
        <w:tc>
          <w:tcPr>
            <w:tcW w:type="dxa" w:w="3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Placa institucional de cierre: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fondo oscuro, nombre del proyecto, Universidad del Rosario, Haciendo Economía 2026-1, pregunta al pie.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2D8F"/>
                <w:sz w:val="18"/>
                <w:szCs w:val="18"/>
              </w:rPr>
              <w:t xml:space="preserve">Diseño gráfico</w:t>
            </w:r>
          </w:p>
        </w:tc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Nombre del proyecto centrado. Logo UR. Año 2026. Pregunta de investigación en letra pequeña al pie. Fade a negro.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220" w:before="2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7B4F00" w:sz="6"/>
              <w:left w:val="single" w:color="7B4F00" w:sz="6"/>
              <w:bottom w:val="single" w:color="7B4F00" w:sz="6"/>
              <w:right w:val="single" w:color="7B4F00" w:sz="6"/>
            </w:tcBorders>
            <w:shd w:fill="7B4F00" w:val="clear"/>
            <w:tcMar>
              <w:top w:type="dxa" w:w="100"/>
              <w:left w:type="dxa" w:w="220"/>
              <w:bottom w:type="dxa" w:w="100"/>
              <w:right w:type="dxa" w:w="220"/>
            </w:tcMar>
            <w:vAlign w:val="top"/>
          </w:tcPr>
          <w:p>
            <w:pPr>
              <w:spacing w:after="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TABLA 3 — ESTADÍSTICAS A CALCULAR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DDEE"/>
                <w:sz w:val="19"/>
                <w:szCs w:val="19"/>
              </w:rPr>
              <w:t xml:space="preserve">17 valores que reemplazan los [DATO] en el guion — completar con resultados reales antes de grabar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19"/>
                <w:szCs w:val="19"/>
              </w:rPr>
              <w:t xml:space="preserve">Cada fila corresponde a un [DATO] o grupo de [DATO] del guion. Incluye el contexto exacto donde aparece, la variable del cuestionario que lo origina y el cálculo necesario. Completar la columna 'Resultado' con el valor final y marcar ✓ antes de grabar la narración.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540"/>
        <w:gridCol w:w="2200"/>
        <w:gridCol w:w="1540"/>
        <w:gridCol w:w="2040"/>
        <w:gridCol w:w="1600"/>
        <w:gridCol w:w="1000"/>
      </w:tblGrid>
      <w:tr>
        <w:tc>
          <w:tcPr>
            <w:tcW w:type="dxa" w:w="440"/>
            <w:gridSpan w:val="1"/>
            <w:tcBorders>
              <w:top w:val="single" w:color="7B4F00" w:sz="6"/>
              <w:left w:val="single" w:color="7B4F00" w:sz="6"/>
              <w:bottom w:val="single" w:color="7B4F00" w:sz="6"/>
              <w:right w:val="single" w:color="7B4F00" w:sz="6"/>
            </w:tcBorders>
            <w:shd w:fill="7B4F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"/>
            <w:gridSpan w:val="1"/>
            <w:tcBorders>
              <w:top w:val="single" w:color="7B4F00" w:sz="6"/>
              <w:left w:val="single" w:color="7B4F00" w:sz="6"/>
              <w:bottom w:val="single" w:color="7B4F00" w:sz="6"/>
              <w:right w:val="single" w:color="7B4F00" w:sz="6"/>
            </w:tcBorders>
            <w:shd w:fill="7B4F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Escena</w:t>
            </w:r>
          </w:p>
        </w:tc>
        <w:tc>
          <w:tcPr>
            <w:tcW w:type="dxa" w:w="2200"/>
            <w:gridSpan w:val="1"/>
            <w:tcBorders>
              <w:top w:val="single" w:color="7B4F00" w:sz="6"/>
              <w:left w:val="single" w:color="7B4F00" w:sz="6"/>
              <w:bottom w:val="single" w:color="7B4F00" w:sz="6"/>
              <w:right w:val="single" w:color="7B4F00" w:sz="6"/>
            </w:tcBorders>
            <w:shd w:fill="7B4F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Contexto del [DATO] en el guion</w:t>
            </w:r>
          </w:p>
        </w:tc>
        <w:tc>
          <w:tcPr>
            <w:tcW w:type="dxa" w:w="1540"/>
            <w:gridSpan w:val="1"/>
            <w:tcBorders>
              <w:top w:val="single" w:color="7B4F00" w:sz="6"/>
              <w:left w:val="single" w:color="7B4F00" w:sz="6"/>
              <w:bottom w:val="single" w:color="7B4F00" w:sz="6"/>
              <w:right w:val="single" w:color="7B4F00" w:sz="6"/>
            </w:tcBorders>
            <w:shd w:fill="7B4F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Variable(s)</w:t>
            </w:r>
          </w:p>
        </w:tc>
        <w:tc>
          <w:tcPr>
            <w:tcW w:type="dxa" w:w="2040"/>
            <w:gridSpan w:val="1"/>
            <w:tcBorders>
              <w:top w:val="single" w:color="7B4F00" w:sz="6"/>
              <w:left w:val="single" w:color="7B4F00" w:sz="6"/>
              <w:bottom w:val="single" w:color="7B4F00" w:sz="6"/>
              <w:right w:val="single" w:color="7B4F00" w:sz="6"/>
            </w:tcBorders>
            <w:shd w:fill="7B4F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Cálculo necesario</w:t>
            </w:r>
          </w:p>
        </w:tc>
        <w:tc>
          <w:tcPr>
            <w:tcW w:type="dxa" w:w="1600"/>
            <w:gridSpan w:val="1"/>
            <w:tcBorders>
              <w:top w:val="single" w:color="7B4F00" w:sz="6"/>
              <w:left w:val="single" w:color="7B4F00" w:sz="6"/>
              <w:bottom w:val="single" w:color="7B4F00" w:sz="6"/>
              <w:right w:val="single" w:color="7B4F00" w:sz="6"/>
            </w:tcBorders>
            <w:shd w:fill="7B4F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Resultado
(completar)</w:t>
            </w:r>
          </w:p>
        </w:tc>
        <w:tc>
          <w:tcPr>
            <w:tcW w:type="dxa" w:w="1000"/>
            <w:gridSpan w:val="1"/>
            <w:tcBorders>
              <w:top w:val="single" w:color="7B4F00" w:sz="6"/>
              <w:left w:val="single" w:color="7B4F00" w:sz="6"/>
              <w:bottom w:val="single" w:color="7B4F00" w:sz="6"/>
              <w:right w:val="single" w:color="7B4F00" w:sz="6"/>
            </w:tcBorders>
            <w:shd w:fill="7B4F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1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E5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"[DATO]% de los restaurantes declara invertir activamente en marketing digital"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P4 — Inversión digital
(Sí / No)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Frecuencia relativa P4=Sí
% = (n Sí / n total) × 100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2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E5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"Las plataformas más usadas son [DATO], [DATO] y [DATO]"  (3 valores)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P5 — Plataformas de
publicidad paga
(categórica múltiple)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Frecuencia de cada opción de P5.
Ordenar de mayor a menor.
Reportar las 3 primeras.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3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E5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"[DATO]% IRS bajo, [DATO]% IRS medio, [DATO]% IRS alto"  (3 valores)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IRS calculado
(P4, P5, P6, P7, P8, P7b)
Rangos: 0–4 / 5–9 / 10–14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Calcular IRS por restaurante.
Clasificar en nivel bajo/medio/alto
según rangos del plan de análisis.
Frecuencia relativa de cada nivel.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4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E6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"[DATO] de cada 10 clientes llega a través de delivery"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P10 — Ventas por
plataformas delivery
(normalizada base 10)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Normalizar P10: si P9+P10+P11 ≠ 10,
redistribuir proporcionalmente.
Calcular media de P10 normalizada.
Redondear a 1 decimal.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5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E6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"[DATO]% accede a datos de comportamiento de plataformas"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P12b — Acceso y uso
de datos delivery
(categórica ordinal 4 opciones)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% que responde 'Sí, disponibles
pero no consulto' + 'Sí, los consulto
regularmente' sobre total (n=35).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6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E6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"Solo [DATO]% los usa activamente"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P12b — Acceso y uso
de datos delivery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% que responde únicamente
'Sí, los consulto regularmente'
sobre total (n=35).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7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E6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"Brecha acceso vs. uso de datos: [DATO]% vs. [DATO]%"  (visual, 2 valores)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P12b — ídem
(dos niveles separados)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Mismos valores que estadísticas 5 y 6.
Presentarlos como par comparativo
para el gráfico de barras.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8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E7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"El promedio de reseñas en Google Maps es [DATO]"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Obs. — Reseñas
Google Maps
(numérica discreta)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Media aritmética del número
de reseñas en Google Maps
por restaurante (n=35).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9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E7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"Con calificación promedio de [DATO] estrellas"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Obs. — Calificación
Google Maps (1.0–5.0)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Media aritmética de la calificación
promedio en Google Maps
por restaurante (n=35).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10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E7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"[DATO]% tiene perfil activo en TripAdvisor"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Obs. — Presencia en
TripAdvisor (Sí / No)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Frecuencia relativa Obs.TA=Sí
% = (n con perfil / n total) × 100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11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E7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"Distribución del IPO: [DATO]% bajo, [DATO]% medio, [DATO]% alto"  (3 valores)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IPO calculado
(P5, P8, Obs. Google,
Obs. TripAdvisor, P13b)
Rangos: 0–5 / 6–11 / 12–18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Calcular IPO por restaurante.
Clasificar en nivel bajo/medio/alto
según rangos del plan de análisis.
Frecuencia relativa de cada nivel.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12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E8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"[DATO]% ya usa alguna herramienta de IA"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P7b — IA en redes
P7c — Herramientas IA
P13b — IA en reseñas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% de restaurantes con al menos
un uso activo de IA en P7b, P7c
o P13b. Variable dummy: si alguno
tiene valor activo → 1, si no → 0.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13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E8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"La aplicación que más les interesaría adoptar es [DATO]"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P18 — App de IA de
mayor interés
(categórica nominal, 5 opciones)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Moda de P18.
Reportar la categoría más frecuente
y su porcentaje sobre total.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14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E8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"[DATO]% señala la presencia y reputación digital como factor determinante"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P16 — Factor clave
posicionamiento futuro
(categórica nominal, 6 opciones)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Frecuencia relativa de la opción
'presencia/reputación digital'
en P16, sobre total (n=35).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15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E8 / Visual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"% que usa IA activamente = [DATO]%"  (visual E8, barra central)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P7b + P7c + P13b
(mismo cálculo que estadística 12)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Mismo valor que estadística 12.
Usarlo también para la
barra central del diagrama visual.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16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E6 / Visual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"Mix de ventas promedio: [DATO]% presencial, [DATO]% delivery, [DATO]% domicilio"  (para barras apiladas)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P9 presencial
P10 delivery
P11 domicilio propio
(todas normalizadas base 10)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Normalizar cada restaurante:
(P9/suma)×10, (P10/suma)×10,
(P11/suma)×10. Calcular media
de cada canal normalizado.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17</w:t>
            </w:r>
          </w:p>
        </w:tc>
        <w:tc>
          <w:tcPr>
            <w:tcW w:type="dxa" w:w="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9"/>
                <w:szCs w:val="19"/>
              </w:rPr>
              <w:t xml:space="preserve">E8 / Visual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"Brecha intención vs. adopción: [DATO]% intención, [DATO]% uso efectivo"  (dos barras comparativas)</w:t>
            </w:r>
          </w:p>
        </w:tc>
        <w:tc>
          <w:tcPr>
            <w:tcW w:type="dxa" w:w="15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P14 — Acciones futuras
(intención IA)
P7b + P7c + P13b
(uso efectivo)</w:t>
            </w:r>
          </w:p>
        </w:tc>
        <w:tc>
          <w:tcPr>
            <w:tcW w:type="dxa" w:w="204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Intención: % que incluye
alguna opción de IA en P14.
Uso efectivo: estadística 12.
Ambas sobre total n=35.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65474" w:sz="6"/>
              <w:left w:val="single" w:color="265474" w:sz="6"/>
              <w:bottom w:val="single" w:color="265474" w:sz="6"/>
              <w:right w:val="single" w:color="265474" w:sz="6"/>
            </w:tcBorders>
            <w:shd w:fill="265474" w:val="clear"/>
            <w:tcMar>
              <w:top w:type="dxa" w:w="100"/>
              <w:left w:type="dxa" w:w="220"/>
              <w:bottom w:type="dxa" w:w="100"/>
              <w:right w:type="dxa" w:w="220"/>
            </w:tcMar>
            <w:vAlign w:val="top"/>
          </w:tcPr>
          <w:p>
            <w:pPr>
              <w:spacing w:after="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RESUMEN DE PRODUCCIÓN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DDEE"/>
                <w:sz w:val="19"/>
                <w:szCs w:val="19"/>
              </w:rPr>
              <w:t xml:space="preserve">51 piezas en total — 3 tablas × 17 ítems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TABLA 1 — Visualizaciones de datos</w:t>
            </w:r>
          </w:p>
        </w:tc>
        <w:tc>
          <w:tcPr>
            <w:tcW w:type="dxa" w:w="3120"/>
            <w:gridSpan w:val="1"/>
            <w:tcBorders>
              <w:top w:val="single" w:color="1A6B5C" w:sz="6"/>
              <w:left w:val="single" w:color="1A6B5C" w:sz="6"/>
              <w:bottom w:val="single" w:color="1A6B5C" w:sz="6"/>
              <w:right w:val="single" w:color="1A6B5C" w:sz="6"/>
            </w:tcBorders>
            <w:shd w:fill="1A6B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TABLA 2 — Imágenes e infografías</w:t>
            </w:r>
          </w:p>
        </w:tc>
        <w:tc>
          <w:tcPr>
            <w:tcW w:type="dxa" w:w="3120"/>
            <w:gridSpan w:val="1"/>
            <w:tcBorders>
              <w:top w:val="single" w:color="7B4F00" w:sz="6"/>
              <w:left w:val="single" w:color="7B4F00" w:sz="6"/>
              <w:bottom w:val="single" w:color="7B4F00" w:sz="6"/>
              <w:right w:val="single" w:color="7B4F00" w:sz="6"/>
            </w:tcBorders>
            <w:shd w:fill="7B4F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TABLA 3 — Estadísticas a calcular</w:t>
            </w:r>
          </w:p>
        </w:tc>
      </w:tr>
      <w:tr>
        <w:tc>
          <w:tcPr>
            <w:tcW w:type="dxa" w:w="3120"/>
            <w:gridSpan w:val="1"/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20" w:before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17 visualizaciones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Necesitan base de datos del estudio.</w:t>
            </w:r>
          </w:p>
        </w:tc>
        <w:tc>
          <w:tcPr>
            <w:tcW w:type="dxa" w:w="3120"/>
            <w:gridSpan w:val="1"/>
            <w:tcBorders>
              <w:top w:val="single" w:color="D4EDEA" w:sz="6"/>
              <w:left w:val="single" w:color="D4EDEA" w:sz="6"/>
              <w:bottom w:val="single" w:color="D4EDEA" w:sz="6"/>
              <w:right w:val="single" w:color="D4EDEA" w:sz="6"/>
            </w:tcBorders>
            <w:shd w:fill="D4ED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20" w:before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5C"/>
                <w:sz w:val="26"/>
                <w:szCs w:val="26"/>
              </w:rPr>
              <w:t xml:space="preserve">17 imágenes / infografías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Diseño independiente de los datos.</w:t>
            </w:r>
          </w:p>
        </w:tc>
        <w:tc>
          <w:tcPr>
            <w:tcW w:type="dxa" w:w="3120"/>
            <w:gridSpan w:val="1"/>
            <w:tcBorders>
              <w:top w:val="single" w:color="FFF3CD" w:sz="6"/>
              <w:left w:val="single" w:color="FFF3CD" w:sz="6"/>
              <w:bottom w:val="single" w:color="FFF3CD" w:sz="6"/>
              <w:right w:val="single" w:color="FFF3CD" w:sz="6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20" w:before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6"/>
                <w:szCs w:val="26"/>
              </w:rPr>
              <w:t xml:space="preserve">17 estadísticas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Valores para reemplazar los [DATO].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4F00"/>
                <w:sz w:val="19"/>
                <w:szCs w:val="19"/>
              </w:rPr>
              <w:t xml:space="preserve">Orden recomendado de trabajo: (1) calcular los índices y completar la Tabla 3 → (2) generar las visualizaciones de la Tabla 1 → (3) producir en paralelo las imágenes e infografías de la Tabla 2 → (4) reemplazar los [DATO] en el guion → (5) grabar la narración y montar el video.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before="60"/>
    </w:pPr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Haciendo Economía 2026-1</dc:creator>
  <dc:description>Checklist de producción audiovisual</dc:description>
  <cp:lastModifiedBy>Un-named</cp:lastModifiedBy>
  <cp:revision>1</cp:revision>
  <dcterms:created xsi:type="dcterms:W3CDTF">2026-05-12T07:18:21.855Z</dcterms:created>
  <dcterms:modified xsi:type="dcterms:W3CDTF">2026-05-12T07:18:21.871Z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