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D1E7" w14:textId="1705443C" w:rsidR="00CA30C7" w:rsidRPr="00CB6FD2" w:rsidRDefault="008868CF" w:rsidP="00D655AD">
      <w:pPr>
        <w:pStyle w:val="Ttulo1"/>
        <w:spacing w:before="0"/>
        <w:rPr>
          <w:rFonts w:cstheme="majorHAnsi"/>
          <w:sz w:val="24"/>
          <w:szCs w:val="24"/>
          <w:lang w:val="es-CO"/>
        </w:rPr>
      </w:pPr>
      <w:r w:rsidRPr="00CB6FD2">
        <w:rPr>
          <w:rFonts w:cstheme="majorHAnsi"/>
          <w:sz w:val="24"/>
          <w:szCs w:val="24"/>
          <w:lang w:val="es-CO"/>
        </w:rPr>
        <w:t xml:space="preserve">Taller </w:t>
      </w:r>
      <w:r w:rsidR="005709EB" w:rsidRPr="00CB6FD2">
        <w:rPr>
          <w:rFonts w:cstheme="majorHAnsi"/>
          <w:sz w:val="24"/>
          <w:szCs w:val="24"/>
          <w:lang w:val="es-CO"/>
        </w:rPr>
        <w:t xml:space="preserve">5 – </w:t>
      </w:r>
      <w:r w:rsidR="00573A27" w:rsidRPr="00CB6FD2">
        <w:rPr>
          <w:rFonts w:cstheme="majorHAnsi"/>
          <w:sz w:val="24"/>
          <w:szCs w:val="24"/>
          <w:lang w:val="es-CO"/>
        </w:rPr>
        <w:t>Construcción de un índice</w:t>
      </w:r>
      <w:r w:rsidR="00122C84" w:rsidRPr="00CB6FD2">
        <w:rPr>
          <w:rFonts w:cstheme="majorHAnsi"/>
          <w:sz w:val="24"/>
          <w:szCs w:val="24"/>
          <w:lang w:val="es-CO"/>
        </w:rPr>
        <w:t xml:space="preserve"> para entender cambios en la economía global antes y después del COVID</w:t>
      </w:r>
    </w:p>
    <w:p w14:paraId="3461A42D" w14:textId="1CE446C5" w:rsidR="005709EB" w:rsidRPr="00CB6FD2" w:rsidRDefault="005709EB" w:rsidP="00D655AD">
      <w:pPr>
        <w:pStyle w:val="Listaconvietas"/>
        <w:numPr>
          <w:ilvl w:val="0"/>
          <w:numId w:val="0"/>
        </w:numPr>
        <w:rPr>
          <w:rFonts w:asciiTheme="majorHAnsi" w:hAnsiTheme="majorHAnsi" w:cstheme="majorHAnsi"/>
          <w:sz w:val="24"/>
          <w:szCs w:val="24"/>
          <w:lang w:val="es-CO"/>
        </w:rPr>
      </w:pPr>
      <w:r w:rsidRPr="00CB6FD2">
        <w:rPr>
          <w:rFonts w:asciiTheme="majorHAnsi" w:hAnsiTheme="majorHAnsi" w:cstheme="majorHAnsi"/>
          <w:sz w:val="24"/>
          <w:szCs w:val="24"/>
          <w:lang w:val="es-CO"/>
        </w:rPr>
        <w:t xml:space="preserve">Este taller está basado en: </w:t>
      </w:r>
      <w:hyperlink r:id="rId6" w:history="1">
        <w:r w:rsidRPr="00CB6FD2">
          <w:rPr>
            <w:rStyle w:val="Hipervnculo"/>
            <w:rFonts w:asciiTheme="majorHAnsi" w:hAnsiTheme="majorHAnsi" w:cstheme="majorHAnsi"/>
            <w:sz w:val="24"/>
            <w:szCs w:val="24"/>
            <w:lang w:val="es-CO"/>
          </w:rPr>
          <w:t>https://books.core-econ.org/doing-economics/book/text/10-02.html</w:t>
        </w:r>
      </w:hyperlink>
    </w:p>
    <w:p w14:paraId="6673BC9B" w14:textId="77777777" w:rsidR="00416B3A" w:rsidRPr="00CB6FD2" w:rsidRDefault="00416B3A" w:rsidP="00D655AD">
      <w:pPr>
        <w:pStyle w:val="Listaconvietas"/>
        <w:numPr>
          <w:ilvl w:val="0"/>
          <w:numId w:val="0"/>
        </w:numPr>
        <w:ind w:left="360" w:hanging="360"/>
        <w:rPr>
          <w:rFonts w:asciiTheme="majorHAnsi" w:hAnsiTheme="majorHAnsi" w:cstheme="majorHAnsi"/>
          <w:sz w:val="24"/>
          <w:szCs w:val="24"/>
          <w:lang w:val="es-CO"/>
        </w:rPr>
      </w:pPr>
    </w:p>
    <w:p w14:paraId="5ABFE26A" w14:textId="77777777" w:rsidR="00B10161" w:rsidRPr="00CB6FD2" w:rsidRDefault="00573A27" w:rsidP="00416B3A">
      <w:pPr>
        <w:pStyle w:val="Listaconvietas"/>
        <w:numPr>
          <w:ilvl w:val="0"/>
          <w:numId w:val="11"/>
        </w:numPr>
        <w:rPr>
          <w:rFonts w:asciiTheme="majorHAnsi" w:hAnsiTheme="majorHAnsi" w:cstheme="majorHAnsi"/>
          <w:b/>
          <w:bCs/>
          <w:sz w:val="24"/>
          <w:szCs w:val="24"/>
          <w:lang w:val="es-CO"/>
        </w:rPr>
      </w:pPr>
      <w:r w:rsidRPr="00CB6FD2">
        <w:rPr>
          <w:rFonts w:asciiTheme="majorHAnsi" w:hAnsiTheme="majorHAnsi" w:cstheme="majorHAnsi"/>
          <w:b/>
          <w:bCs/>
          <w:sz w:val="24"/>
          <w:szCs w:val="24"/>
          <w:lang w:val="es-CO"/>
        </w:rPr>
        <w:t>Vamos a c</w:t>
      </w:r>
      <w:r w:rsidR="00416B3A" w:rsidRPr="00CB6FD2">
        <w:rPr>
          <w:rFonts w:asciiTheme="majorHAnsi" w:hAnsiTheme="majorHAnsi" w:cstheme="majorHAnsi"/>
          <w:b/>
          <w:bCs/>
          <w:sz w:val="24"/>
          <w:szCs w:val="24"/>
          <w:lang w:val="es-CO"/>
        </w:rPr>
        <w:t xml:space="preserve">rear un índice con </w:t>
      </w:r>
      <w:r w:rsidR="009118C5" w:rsidRPr="00CB6FD2">
        <w:rPr>
          <w:rFonts w:asciiTheme="majorHAnsi" w:hAnsiTheme="majorHAnsi" w:cstheme="majorHAnsi"/>
          <w:b/>
          <w:bCs/>
          <w:sz w:val="24"/>
          <w:szCs w:val="24"/>
          <w:lang w:val="es-CO"/>
        </w:rPr>
        <w:t>1</w:t>
      </w:r>
      <w:r w:rsidR="00416B3A" w:rsidRPr="00CB6FD2">
        <w:rPr>
          <w:rFonts w:asciiTheme="majorHAnsi" w:hAnsiTheme="majorHAnsi" w:cstheme="majorHAnsi"/>
          <w:b/>
          <w:bCs/>
          <w:sz w:val="24"/>
          <w:szCs w:val="24"/>
          <w:lang w:val="es-CO"/>
        </w:rPr>
        <w:t xml:space="preserve">0 </w:t>
      </w:r>
      <w:r w:rsidR="00002F2E" w:rsidRPr="00CB6FD2">
        <w:rPr>
          <w:rFonts w:asciiTheme="majorHAnsi" w:hAnsiTheme="majorHAnsi" w:cstheme="majorHAnsi"/>
          <w:b/>
          <w:bCs/>
          <w:sz w:val="24"/>
          <w:szCs w:val="24"/>
          <w:lang w:val="es-CO"/>
        </w:rPr>
        <w:t>acciones para</w:t>
      </w:r>
      <w:r w:rsidR="00416B3A" w:rsidRPr="00CB6FD2">
        <w:rPr>
          <w:rFonts w:asciiTheme="majorHAnsi" w:hAnsiTheme="majorHAnsi" w:cstheme="majorHAnsi"/>
          <w:b/>
          <w:bCs/>
          <w:sz w:val="24"/>
          <w:szCs w:val="24"/>
          <w:lang w:val="es-CO"/>
        </w:rPr>
        <w:t xml:space="preserve"> 3 </w:t>
      </w:r>
      <w:r w:rsidR="00002F2E" w:rsidRPr="00CB6FD2">
        <w:rPr>
          <w:rFonts w:asciiTheme="majorHAnsi" w:hAnsiTheme="majorHAnsi" w:cstheme="majorHAnsi"/>
          <w:b/>
          <w:bCs/>
          <w:sz w:val="24"/>
          <w:szCs w:val="24"/>
          <w:lang w:val="es-CO"/>
        </w:rPr>
        <w:t>sectores</w:t>
      </w:r>
      <w:r w:rsidR="00416B3A" w:rsidRPr="00CB6FD2">
        <w:rPr>
          <w:rFonts w:asciiTheme="majorHAnsi" w:hAnsiTheme="majorHAnsi" w:cstheme="majorHAnsi"/>
          <w:b/>
          <w:bCs/>
          <w:sz w:val="24"/>
          <w:szCs w:val="24"/>
          <w:lang w:val="es-CO"/>
        </w:rPr>
        <w:t xml:space="preserve"> diferentes</w:t>
      </w:r>
      <w:r w:rsidR="00002F2E" w:rsidRPr="00CB6FD2">
        <w:rPr>
          <w:rFonts w:asciiTheme="majorHAnsi" w:hAnsiTheme="majorHAnsi" w:cstheme="majorHAnsi"/>
          <w:b/>
          <w:bCs/>
          <w:sz w:val="24"/>
          <w:szCs w:val="24"/>
          <w:lang w:val="es-CO"/>
        </w:rPr>
        <w:t xml:space="preserve"> (</w:t>
      </w:r>
      <w:proofErr w:type="spellStart"/>
      <w:r w:rsidR="00002F2E" w:rsidRPr="00CB6FD2">
        <w:rPr>
          <w:rFonts w:asciiTheme="majorHAnsi" w:hAnsiTheme="majorHAnsi" w:cstheme="majorHAnsi"/>
          <w:b/>
          <w:bCs/>
          <w:sz w:val="24"/>
          <w:szCs w:val="24"/>
          <w:lang w:val="es-CO"/>
        </w:rPr>
        <w:t>energy</w:t>
      </w:r>
      <w:proofErr w:type="spellEnd"/>
      <w:r w:rsidR="00002F2E" w:rsidRPr="00CB6FD2">
        <w:rPr>
          <w:rFonts w:asciiTheme="majorHAnsi" w:hAnsiTheme="majorHAnsi" w:cstheme="majorHAnsi"/>
          <w:b/>
          <w:bCs/>
          <w:sz w:val="24"/>
          <w:szCs w:val="24"/>
          <w:lang w:val="es-CO"/>
        </w:rPr>
        <w:t xml:space="preserve">, </w:t>
      </w:r>
      <w:proofErr w:type="spellStart"/>
      <w:r w:rsidR="00002F2E" w:rsidRPr="00CB6FD2">
        <w:rPr>
          <w:rFonts w:asciiTheme="majorHAnsi" w:hAnsiTheme="majorHAnsi" w:cstheme="majorHAnsi"/>
          <w:b/>
          <w:bCs/>
          <w:sz w:val="24"/>
          <w:szCs w:val="24"/>
          <w:lang w:val="es-CO"/>
        </w:rPr>
        <w:t>materials</w:t>
      </w:r>
      <w:proofErr w:type="spellEnd"/>
      <w:r w:rsidR="00002F2E" w:rsidRPr="00CB6FD2">
        <w:rPr>
          <w:rFonts w:asciiTheme="majorHAnsi" w:hAnsiTheme="majorHAnsi" w:cstheme="majorHAnsi"/>
          <w:b/>
          <w:bCs/>
          <w:sz w:val="24"/>
          <w:szCs w:val="24"/>
          <w:lang w:val="es-CO"/>
        </w:rPr>
        <w:t xml:space="preserve">, </w:t>
      </w:r>
      <w:proofErr w:type="spellStart"/>
      <w:r w:rsidR="00002F2E" w:rsidRPr="00CB6FD2">
        <w:rPr>
          <w:rFonts w:asciiTheme="majorHAnsi" w:hAnsiTheme="majorHAnsi" w:cstheme="majorHAnsi"/>
          <w:b/>
          <w:bCs/>
          <w:sz w:val="24"/>
          <w:szCs w:val="24"/>
          <w:lang w:val="es-CO"/>
        </w:rPr>
        <w:t>financials</w:t>
      </w:r>
      <w:proofErr w:type="spellEnd"/>
      <w:r w:rsidR="00002F2E" w:rsidRPr="00CB6FD2">
        <w:rPr>
          <w:rFonts w:asciiTheme="majorHAnsi" w:hAnsiTheme="majorHAnsi" w:cstheme="majorHAnsi"/>
          <w:b/>
          <w:bCs/>
          <w:sz w:val="24"/>
          <w:szCs w:val="24"/>
          <w:lang w:val="es-CO"/>
        </w:rPr>
        <w:t>, etc.)</w:t>
      </w:r>
      <w:r w:rsidR="00B10161" w:rsidRPr="00CB6FD2">
        <w:rPr>
          <w:rFonts w:asciiTheme="majorHAnsi" w:hAnsiTheme="majorHAnsi" w:cstheme="majorHAnsi"/>
          <w:b/>
          <w:bCs/>
          <w:sz w:val="24"/>
          <w:szCs w:val="24"/>
          <w:lang w:val="es-CO"/>
        </w:rPr>
        <w:t>:</w:t>
      </w:r>
    </w:p>
    <w:p w14:paraId="7E034798" w14:textId="0E5DD646" w:rsidR="00416B3A" w:rsidRPr="00CB6FD2" w:rsidRDefault="00573A27" w:rsidP="00B10161">
      <w:pPr>
        <w:pStyle w:val="Listaconvietas"/>
        <w:numPr>
          <w:ilvl w:val="0"/>
          <w:numId w:val="0"/>
        </w:numPr>
        <w:ind w:left="720"/>
        <w:rPr>
          <w:rFonts w:asciiTheme="majorHAnsi" w:hAnsiTheme="majorHAnsi" w:cstheme="majorHAnsi"/>
          <w:sz w:val="24"/>
          <w:szCs w:val="24"/>
          <w:lang w:val="es-CO"/>
        </w:rPr>
      </w:pPr>
      <w:r w:rsidRPr="00CB6FD2">
        <w:rPr>
          <w:rFonts w:asciiTheme="majorHAnsi" w:hAnsiTheme="majorHAnsi" w:cstheme="majorHAnsi"/>
          <w:sz w:val="24"/>
          <w:szCs w:val="24"/>
          <w:lang w:val="es-CO"/>
        </w:rPr>
        <w:t>Para ello, vamos a descargar los datos de precios</w:t>
      </w:r>
      <w:r w:rsidR="00002F2E" w:rsidRPr="00CB6FD2">
        <w:rPr>
          <w:rFonts w:asciiTheme="majorHAnsi" w:hAnsiTheme="majorHAnsi" w:cstheme="majorHAnsi"/>
          <w:sz w:val="24"/>
          <w:szCs w:val="24"/>
          <w:lang w:val="es-CO"/>
        </w:rPr>
        <w:t xml:space="preserve"> de cierre diario</w:t>
      </w:r>
      <w:r w:rsidRPr="00CB6FD2">
        <w:rPr>
          <w:rFonts w:asciiTheme="majorHAnsi" w:hAnsiTheme="majorHAnsi" w:cstheme="majorHAnsi"/>
          <w:sz w:val="24"/>
          <w:szCs w:val="24"/>
          <w:lang w:val="es-CO"/>
        </w:rPr>
        <w:t xml:space="preserve"> y volúmenes de las mismas entre 201</w:t>
      </w:r>
      <w:r w:rsidR="00002F2E" w:rsidRPr="00CB6FD2">
        <w:rPr>
          <w:rFonts w:asciiTheme="majorHAnsi" w:hAnsiTheme="majorHAnsi" w:cstheme="majorHAnsi"/>
          <w:sz w:val="24"/>
          <w:szCs w:val="24"/>
          <w:lang w:val="es-CO"/>
        </w:rPr>
        <w:t>5</w:t>
      </w:r>
      <w:r w:rsidRPr="00CB6FD2">
        <w:rPr>
          <w:rFonts w:asciiTheme="majorHAnsi" w:hAnsiTheme="majorHAnsi" w:cstheme="majorHAnsi"/>
          <w:sz w:val="24"/>
          <w:szCs w:val="24"/>
          <w:lang w:val="es-CO"/>
        </w:rPr>
        <w:t xml:space="preserve"> y 202</w:t>
      </w:r>
      <w:r w:rsidR="00002F2E" w:rsidRPr="00CB6FD2">
        <w:rPr>
          <w:rFonts w:asciiTheme="majorHAnsi" w:hAnsiTheme="majorHAnsi" w:cstheme="majorHAnsi"/>
          <w:sz w:val="24"/>
          <w:szCs w:val="24"/>
          <w:lang w:val="es-CO"/>
        </w:rPr>
        <w:t>5</w:t>
      </w:r>
      <w:r w:rsidRPr="00CB6FD2">
        <w:rPr>
          <w:rFonts w:asciiTheme="majorHAnsi" w:hAnsiTheme="majorHAnsi" w:cstheme="majorHAnsi"/>
          <w:sz w:val="24"/>
          <w:szCs w:val="24"/>
          <w:lang w:val="es-CO"/>
        </w:rPr>
        <w:t>.</w:t>
      </w:r>
      <w:r w:rsidR="00B7058F" w:rsidRPr="00CB6FD2">
        <w:rPr>
          <w:rFonts w:asciiTheme="majorHAnsi" w:hAnsiTheme="majorHAnsi" w:cstheme="majorHAnsi"/>
          <w:sz w:val="24"/>
          <w:szCs w:val="24"/>
          <w:lang w:val="es-CO"/>
        </w:rPr>
        <w:t xml:space="preserve"> Idealmente, utilizar la herramienta de conexión entre Excel y Bloomberg.</w:t>
      </w:r>
    </w:p>
    <w:p w14:paraId="46CC1A87" w14:textId="2E615B43" w:rsidR="005973D0" w:rsidRPr="00CB6FD2" w:rsidRDefault="005973D0" w:rsidP="005973D0">
      <w:pPr>
        <w:rPr>
          <w:rFonts w:asciiTheme="majorHAnsi" w:hAnsiTheme="majorHAnsi" w:cstheme="majorHAnsi"/>
          <w:lang w:val="es-CO"/>
        </w:rPr>
      </w:pPr>
      <w:r w:rsidRPr="00CB6FD2">
        <w:rPr>
          <w:rFonts w:asciiTheme="majorHAnsi" w:hAnsiTheme="majorHAnsi" w:cstheme="majorHAnsi"/>
          <w:highlight w:val="yellow"/>
          <w:lang w:val="es-CO"/>
        </w:rPr>
        <w:t>(Ver archivo Excel – “Data\Raw</w:t>
      </w:r>
      <w:r w:rsidR="002F072D" w:rsidRPr="00CB6FD2">
        <w:rPr>
          <w:rFonts w:asciiTheme="majorHAnsi" w:hAnsiTheme="majorHAnsi" w:cstheme="majorHAnsi"/>
          <w:highlight w:val="yellow"/>
          <w:lang w:val="es-CO"/>
        </w:rPr>
        <w:t xml:space="preserve">\Datos Sectores </w:t>
      </w:r>
      <w:proofErr w:type="spellStart"/>
      <w:r w:rsidR="002F072D" w:rsidRPr="00CB6FD2">
        <w:rPr>
          <w:rFonts w:asciiTheme="majorHAnsi" w:hAnsiTheme="majorHAnsi" w:cstheme="majorHAnsi"/>
          <w:highlight w:val="yellow"/>
          <w:lang w:val="es-CO"/>
        </w:rPr>
        <w:t>Equity</w:t>
      </w:r>
      <w:proofErr w:type="spellEnd"/>
      <w:r w:rsidRPr="00CB6FD2">
        <w:rPr>
          <w:rFonts w:asciiTheme="majorHAnsi" w:hAnsiTheme="majorHAnsi" w:cstheme="majorHAnsi"/>
          <w:highlight w:val="yellow"/>
          <w:lang w:val="es-CO"/>
        </w:rPr>
        <w:t>”)</w:t>
      </w:r>
    </w:p>
    <w:p w14:paraId="27AB5AEA" w14:textId="77777777" w:rsidR="00A43EF5" w:rsidRPr="00CB6FD2" w:rsidRDefault="00A43EF5" w:rsidP="00A43EF5">
      <w:pPr>
        <w:pStyle w:val="Listaconvietas"/>
        <w:numPr>
          <w:ilvl w:val="0"/>
          <w:numId w:val="11"/>
        </w:numPr>
        <w:rPr>
          <w:rFonts w:asciiTheme="majorHAnsi" w:hAnsiTheme="majorHAnsi" w:cstheme="majorHAnsi"/>
          <w:b/>
          <w:bCs/>
          <w:sz w:val="24"/>
          <w:szCs w:val="24"/>
          <w:lang w:val="es-CO"/>
        </w:rPr>
      </w:pPr>
      <w:r w:rsidRPr="00CB6FD2">
        <w:rPr>
          <w:rFonts w:asciiTheme="majorHAnsi" w:hAnsiTheme="majorHAnsi" w:cstheme="majorHAnsi"/>
          <w:b/>
          <w:bCs/>
          <w:sz w:val="24"/>
          <w:szCs w:val="24"/>
          <w:lang w:val="es-CO"/>
        </w:rPr>
        <w:t xml:space="preserve">Construyamos el índice. Para cada región y 2015–2025: </w:t>
      </w:r>
    </w:p>
    <w:p w14:paraId="73CB84F1" w14:textId="1B663A71" w:rsidR="00A43EF5" w:rsidRPr="00CB6FD2" w:rsidRDefault="00A43EF5" w:rsidP="00A43EF5">
      <w:pPr>
        <w:pStyle w:val="Listaconvietas"/>
        <w:numPr>
          <w:ilvl w:val="1"/>
          <w:numId w:val="11"/>
        </w:numPr>
        <w:tabs>
          <w:tab w:val="num" w:pos="1440"/>
        </w:tabs>
        <w:rPr>
          <w:rFonts w:asciiTheme="majorHAnsi" w:hAnsiTheme="majorHAnsi" w:cstheme="majorHAnsi"/>
          <w:sz w:val="24"/>
          <w:szCs w:val="24"/>
          <w:lang w:val="es-CO"/>
        </w:rPr>
      </w:pPr>
      <w:r w:rsidRPr="00CB6FD2">
        <w:rPr>
          <w:rFonts w:asciiTheme="majorHAnsi" w:hAnsiTheme="majorHAnsi" w:cstheme="majorHAnsi"/>
          <w:sz w:val="24"/>
          <w:szCs w:val="24"/>
          <w:lang w:val="es-CO"/>
        </w:rPr>
        <w:t>Crear pesos según el volumen de transacciones inicial (</w:t>
      </w:r>
      <w:r w:rsidR="001D23D8" w:rsidRPr="00CB6FD2">
        <w:rPr>
          <w:rFonts w:asciiTheme="majorHAnsi" w:hAnsiTheme="majorHAnsi" w:cstheme="majorHAnsi"/>
          <w:sz w:val="24"/>
          <w:szCs w:val="24"/>
          <w:lang w:val="es-CO"/>
        </w:rPr>
        <w:t xml:space="preserve">ene. </w:t>
      </w:r>
      <w:r w:rsidRPr="00CB6FD2">
        <w:rPr>
          <w:rFonts w:asciiTheme="majorHAnsi" w:hAnsiTheme="majorHAnsi" w:cstheme="majorHAnsi"/>
          <w:sz w:val="24"/>
          <w:szCs w:val="24"/>
          <w:lang w:val="es-CO"/>
        </w:rPr>
        <w:t>2015) sobre el total del índice.  Verificar que sumen 1.</w:t>
      </w:r>
    </w:p>
    <w:p w14:paraId="082E6BF4" w14:textId="0AF66955" w:rsidR="00E7378E" w:rsidRPr="00CB6FD2" w:rsidRDefault="00E7378E" w:rsidP="00E7378E">
      <w:pPr>
        <w:rPr>
          <w:rFonts w:asciiTheme="majorHAnsi" w:hAnsiTheme="majorHAnsi" w:cstheme="majorHAnsi"/>
          <w:lang w:val="es-CO"/>
        </w:rPr>
      </w:pPr>
      <w:r w:rsidRPr="00CB6FD2">
        <w:rPr>
          <w:rFonts w:asciiTheme="majorHAnsi" w:hAnsiTheme="majorHAnsi" w:cstheme="majorHAnsi"/>
          <w:highlight w:val="yellow"/>
          <w:lang w:val="es-CO"/>
        </w:rPr>
        <w:t>(Ver archivo de Excel</w:t>
      </w:r>
      <w:r w:rsidR="005973D0" w:rsidRPr="00CB6FD2">
        <w:rPr>
          <w:rFonts w:asciiTheme="majorHAnsi" w:hAnsiTheme="majorHAnsi" w:cstheme="majorHAnsi"/>
          <w:highlight w:val="yellow"/>
          <w:lang w:val="es-CO"/>
        </w:rPr>
        <w:t xml:space="preserve"> – “Data\</w:t>
      </w:r>
      <w:proofErr w:type="spellStart"/>
      <w:r w:rsidR="005973D0" w:rsidRPr="00CB6FD2">
        <w:rPr>
          <w:rFonts w:asciiTheme="majorHAnsi" w:hAnsiTheme="majorHAnsi" w:cstheme="majorHAnsi"/>
          <w:highlight w:val="yellow"/>
          <w:lang w:val="es-CO"/>
        </w:rPr>
        <w:t>Clean</w:t>
      </w:r>
      <w:proofErr w:type="spellEnd"/>
      <w:r w:rsidR="002F072D" w:rsidRPr="00CB6FD2">
        <w:rPr>
          <w:rFonts w:asciiTheme="majorHAnsi" w:hAnsiTheme="majorHAnsi" w:cstheme="majorHAnsi"/>
          <w:highlight w:val="yellow"/>
          <w:lang w:val="es-CO"/>
        </w:rPr>
        <w:t xml:space="preserve">\Datos Sectores </w:t>
      </w:r>
      <w:proofErr w:type="spellStart"/>
      <w:r w:rsidR="002F072D" w:rsidRPr="00CB6FD2">
        <w:rPr>
          <w:rFonts w:asciiTheme="majorHAnsi" w:hAnsiTheme="majorHAnsi" w:cstheme="majorHAnsi"/>
          <w:highlight w:val="yellow"/>
          <w:lang w:val="es-CO"/>
        </w:rPr>
        <w:t>Equity</w:t>
      </w:r>
      <w:proofErr w:type="spellEnd"/>
      <w:r w:rsidR="002F072D" w:rsidRPr="00CB6FD2">
        <w:rPr>
          <w:rFonts w:asciiTheme="majorHAnsi" w:hAnsiTheme="majorHAnsi" w:cstheme="majorHAnsi"/>
          <w:highlight w:val="yellow"/>
          <w:lang w:val="es-CO"/>
        </w:rPr>
        <w:t xml:space="preserve"> (</w:t>
      </w:r>
      <w:proofErr w:type="spellStart"/>
      <w:r w:rsidR="002F072D" w:rsidRPr="00CB6FD2">
        <w:rPr>
          <w:rFonts w:asciiTheme="majorHAnsi" w:hAnsiTheme="majorHAnsi" w:cstheme="majorHAnsi"/>
          <w:highlight w:val="yellow"/>
          <w:lang w:val="es-CO"/>
        </w:rPr>
        <w:t>Index</w:t>
      </w:r>
      <w:proofErr w:type="spellEnd"/>
      <w:r w:rsidR="002F072D" w:rsidRPr="00CB6FD2">
        <w:rPr>
          <w:rFonts w:asciiTheme="majorHAnsi" w:hAnsiTheme="majorHAnsi" w:cstheme="majorHAnsi"/>
          <w:highlight w:val="yellow"/>
          <w:lang w:val="es-CO"/>
        </w:rPr>
        <w:t xml:space="preserve"> </w:t>
      </w:r>
      <w:proofErr w:type="spellStart"/>
      <w:r w:rsidR="002F072D" w:rsidRPr="00CB6FD2">
        <w:rPr>
          <w:rFonts w:asciiTheme="majorHAnsi" w:hAnsiTheme="majorHAnsi" w:cstheme="majorHAnsi"/>
          <w:highlight w:val="yellow"/>
          <w:lang w:val="es-CO"/>
        </w:rPr>
        <w:t>review</w:t>
      </w:r>
      <w:proofErr w:type="spellEnd"/>
      <w:r w:rsidR="002F072D" w:rsidRPr="00CB6FD2">
        <w:rPr>
          <w:rFonts w:asciiTheme="majorHAnsi" w:hAnsiTheme="majorHAnsi" w:cstheme="majorHAnsi"/>
          <w:highlight w:val="yellow"/>
          <w:lang w:val="es-CO"/>
        </w:rPr>
        <w:t>)</w:t>
      </w:r>
      <w:r w:rsidR="005973D0" w:rsidRPr="00CB6FD2">
        <w:rPr>
          <w:rFonts w:asciiTheme="majorHAnsi" w:hAnsiTheme="majorHAnsi" w:cstheme="majorHAnsi"/>
          <w:highlight w:val="yellow"/>
          <w:lang w:val="es-CO"/>
        </w:rPr>
        <w:t>”</w:t>
      </w:r>
      <w:r w:rsidRPr="00CB6FD2">
        <w:rPr>
          <w:rFonts w:asciiTheme="majorHAnsi" w:hAnsiTheme="majorHAnsi" w:cstheme="majorHAnsi"/>
          <w:highlight w:val="yellow"/>
          <w:lang w:val="es-CO"/>
        </w:rPr>
        <w:t>)</w:t>
      </w:r>
    </w:p>
    <w:p w14:paraId="5BA4AF1C" w14:textId="6BCBED97" w:rsidR="00A43EF5" w:rsidRPr="00CB6FD2" w:rsidRDefault="00A43EF5" w:rsidP="0070377A">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C</w:t>
      </w:r>
      <w:r w:rsidR="001D23D8" w:rsidRPr="00CB6FD2">
        <w:rPr>
          <w:rFonts w:asciiTheme="majorHAnsi" w:hAnsiTheme="majorHAnsi" w:cstheme="majorHAnsi"/>
          <w:sz w:val="24"/>
          <w:szCs w:val="24"/>
          <w:lang w:val="es-CO"/>
        </w:rPr>
        <w:t xml:space="preserve">rear pesos según el precio </w:t>
      </w:r>
      <w:r w:rsidR="0070377A" w:rsidRPr="00CB6FD2">
        <w:rPr>
          <w:rFonts w:asciiTheme="majorHAnsi" w:hAnsiTheme="majorHAnsi" w:cstheme="majorHAnsi"/>
          <w:sz w:val="24"/>
          <w:szCs w:val="24"/>
          <w:lang w:val="es-CO"/>
        </w:rPr>
        <w:t xml:space="preserve">inicial </w:t>
      </w:r>
      <w:r w:rsidR="001D23D8" w:rsidRPr="00CB6FD2">
        <w:rPr>
          <w:rFonts w:asciiTheme="majorHAnsi" w:hAnsiTheme="majorHAnsi" w:cstheme="majorHAnsi"/>
          <w:sz w:val="24"/>
          <w:szCs w:val="24"/>
          <w:lang w:val="es-CO"/>
        </w:rPr>
        <w:t>de cada acción (</w:t>
      </w:r>
      <w:r w:rsidR="0070377A" w:rsidRPr="00CB6FD2">
        <w:rPr>
          <w:rFonts w:asciiTheme="majorHAnsi" w:hAnsiTheme="majorHAnsi" w:cstheme="majorHAnsi"/>
          <w:sz w:val="24"/>
          <w:szCs w:val="24"/>
          <w:lang w:val="es-CO"/>
        </w:rPr>
        <w:t>ene</w:t>
      </w:r>
      <w:r w:rsidR="001D23D8" w:rsidRPr="00CB6FD2">
        <w:rPr>
          <w:rFonts w:asciiTheme="majorHAnsi" w:hAnsiTheme="majorHAnsi" w:cstheme="majorHAnsi"/>
          <w:sz w:val="24"/>
          <w:szCs w:val="24"/>
          <w:lang w:val="es-CO"/>
        </w:rPr>
        <w:t>. 20</w:t>
      </w:r>
      <w:r w:rsidR="0070377A" w:rsidRPr="00CB6FD2">
        <w:rPr>
          <w:rFonts w:asciiTheme="majorHAnsi" w:hAnsiTheme="majorHAnsi" w:cstheme="majorHAnsi"/>
          <w:sz w:val="24"/>
          <w:szCs w:val="24"/>
          <w:lang w:val="es-CO"/>
        </w:rPr>
        <w:t>15</w:t>
      </w:r>
      <w:r w:rsidR="001D23D8" w:rsidRPr="00CB6FD2">
        <w:rPr>
          <w:rFonts w:asciiTheme="majorHAnsi" w:hAnsiTheme="majorHAnsi" w:cstheme="majorHAnsi"/>
          <w:sz w:val="24"/>
          <w:szCs w:val="24"/>
          <w:lang w:val="es-CO"/>
        </w:rPr>
        <w:t>), ¿Cómo cambia en comparación a los pesos por volumen de transacción?</w:t>
      </w:r>
      <w:r w:rsidR="0070377A" w:rsidRPr="00CB6FD2">
        <w:rPr>
          <w:rFonts w:asciiTheme="majorHAnsi" w:hAnsiTheme="majorHAnsi" w:cstheme="majorHAnsi"/>
          <w:sz w:val="24"/>
          <w:szCs w:val="24"/>
          <w:lang w:val="es-CO"/>
        </w:rPr>
        <w:t>, ¿Por qué?</w:t>
      </w:r>
    </w:p>
    <w:p w14:paraId="52889E8B" w14:textId="77777777" w:rsidR="00EF1B84" w:rsidRPr="00CB6FD2" w:rsidRDefault="00EF1B84" w:rsidP="00EF1B84">
      <w:pPr>
        <w:rPr>
          <w:rFonts w:asciiTheme="majorHAnsi" w:hAnsiTheme="majorHAnsi" w:cstheme="majorHAnsi"/>
          <w:highlight w:val="yellow"/>
          <w:lang w:val="es-CO"/>
        </w:rPr>
      </w:pPr>
      <w:r w:rsidRPr="00CB6FD2">
        <w:rPr>
          <w:rFonts w:asciiTheme="majorHAnsi" w:hAnsiTheme="majorHAnsi" w:cstheme="majorHAnsi"/>
          <w:highlight w:val="yellow"/>
          <w:lang w:val="es-CO"/>
        </w:rPr>
        <w:t>Los pesos de las acciones calculados por volumen y por precio presentan diferencias importantes que responden a la forma en que se construye cada medida. En particular, se observa que, en varios casos, aquellas acciones con mayor participación en el volumen transado tienen un menor peso cuando se pondera por precio, y viceversa.</w:t>
      </w:r>
    </w:p>
    <w:p w14:paraId="00F485DA" w14:textId="77777777" w:rsidR="00EF1B84" w:rsidRPr="00CB6FD2" w:rsidRDefault="00EF1B84" w:rsidP="00EF1B84">
      <w:pPr>
        <w:rPr>
          <w:rFonts w:asciiTheme="majorHAnsi" w:hAnsiTheme="majorHAnsi" w:cstheme="majorHAnsi"/>
          <w:highlight w:val="yellow"/>
          <w:lang w:val="es-CO"/>
        </w:rPr>
      </w:pPr>
      <w:r w:rsidRPr="00CB6FD2">
        <w:rPr>
          <w:rFonts w:asciiTheme="majorHAnsi" w:hAnsiTheme="majorHAnsi" w:cstheme="majorHAnsi"/>
          <w:highlight w:val="yellow"/>
          <w:lang w:val="es-CO"/>
        </w:rPr>
        <w:t>Sin embargo, esta relación no debe interpretarse como una relación inversa directa entre precio y cantidad demandada (como sugiere la ley de la demanda). Más bien, estas diferencias surgen porque el precio de una acción no refleja necesariamente su nivel de negociación ni su importancia en el mercado.</w:t>
      </w:r>
    </w:p>
    <w:p w14:paraId="36367D01" w14:textId="77777777" w:rsidR="00EF1B84" w:rsidRPr="00CB6FD2" w:rsidRDefault="00EF1B84" w:rsidP="00EF1B84">
      <w:pPr>
        <w:rPr>
          <w:rFonts w:asciiTheme="majorHAnsi" w:hAnsiTheme="majorHAnsi" w:cstheme="majorHAnsi"/>
          <w:highlight w:val="yellow"/>
          <w:lang w:val="es-CO"/>
        </w:rPr>
      </w:pPr>
      <w:r w:rsidRPr="00CB6FD2">
        <w:rPr>
          <w:rFonts w:asciiTheme="majorHAnsi" w:hAnsiTheme="majorHAnsi" w:cstheme="majorHAnsi"/>
          <w:highlight w:val="yellow"/>
          <w:lang w:val="es-CO"/>
        </w:rPr>
        <w:t>El volumen captura la liquidez y actividad de mercado, mientras que el precio solo refleja el valor unitario del activo, el cual puede ser alto o bajo independientemente de cuántas veces se transa. Por ello, una acción puede tener un precio alto pero poco volumen, o un precio bajo pero ser altamente transada.</w:t>
      </w:r>
    </w:p>
    <w:p w14:paraId="4FE4D560" w14:textId="6B829A30" w:rsidR="00EF1B84" w:rsidRPr="00CB6FD2" w:rsidRDefault="00EF1B84" w:rsidP="00EF1B84">
      <w:pPr>
        <w:rPr>
          <w:rFonts w:asciiTheme="majorHAnsi" w:hAnsiTheme="majorHAnsi" w:cstheme="majorHAnsi"/>
          <w:lang w:val="es-CO"/>
        </w:rPr>
      </w:pPr>
      <w:r w:rsidRPr="00CB6FD2">
        <w:rPr>
          <w:rFonts w:asciiTheme="majorHAnsi" w:hAnsiTheme="majorHAnsi" w:cstheme="majorHAnsi"/>
          <w:highlight w:val="yellow"/>
          <w:lang w:val="es-CO"/>
        </w:rPr>
        <w:t xml:space="preserve">En consecuencia, los pesos por precio pueden </w:t>
      </w:r>
      <w:proofErr w:type="spellStart"/>
      <w:r w:rsidRPr="00CB6FD2">
        <w:rPr>
          <w:rFonts w:asciiTheme="majorHAnsi" w:hAnsiTheme="majorHAnsi" w:cstheme="majorHAnsi"/>
          <w:highlight w:val="yellow"/>
          <w:lang w:val="es-CO"/>
        </w:rPr>
        <w:t>sobre-representar</w:t>
      </w:r>
      <w:proofErr w:type="spellEnd"/>
      <w:r w:rsidRPr="00CB6FD2">
        <w:rPr>
          <w:rFonts w:asciiTheme="majorHAnsi" w:hAnsiTheme="majorHAnsi" w:cstheme="majorHAnsi"/>
          <w:highlight w:val="yellow"/>
          <w:lang w:val="es-CO"/>
        </w:rPr>
        <w:t xml:space="preserve"> acciones con valores nominales altos, mientras que los pesos por volumen reflejan de manera más directa la dinámica de negociación en el mercado.</w:t>
      </w:r>
    </w:p>
    <w:p w14:paraId="2D884E27" w14:textId="47689422" w:rsidR="00416B3A" w:rsidRPr="00CB6FD2" w:rsidRDefault="00416B3A" w:rsidP="00416B3A">
      <w:pPr>
        <w:pStyle w:val="Listaconvietas"/>
        <w:numPr>
          <w:ilvl w:val="0"/>
          <w:numId w:val="11"/>
        </w:numPr>
        <w:rPr>
          <w:rFonts w:asciiTheme="majorHAnsi" w:hAnsiTheme="majorHAnsi" w:cstheme="majorHAnsi"/>
          <w:b/>
          <w:bCs/>
          <w:sz w:val="24"/>
          <w:szCs w:val="24"/>
          <w:lang w:val="es-CO"/>
        </w:rPr>
      </w:pPr>
      <w:r w:rsidRPr="00CB6FD2">
        <w:rPr>
          <w:rFonts w:asciiTheme="majorHAnsi" w:hAnsiTheme="majorHAnsi" w:cstheme="majorHAnsi"/>
          <w:b/>
          <w:bCs/>
          <w:sz w:val="24"/>
          <w:szCs w:val="24"/>
          <w:lang w:val="es-CO"/>
        </w:rPr>
        <w:t>Resumir datos</w:t>
      </w:r>
    </w:p>
    <w:p w14:paraId="2B37C553" w14:textId="65B220F5" w:rsidR="00EF1B84" w:rsidRPr="00CB6FD2" w:rsidRDefault="00416B3A" w:rsidP="00EF1B84">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lastRenderedPageBreak/>
        <w:t xml:space="preserve">Describir </w:t>
      </w:r>
      <w:r w:rsidR="009118C5" w:rsidRPr="00CB6FD2">
        <w:rPr>
          <w:rFonts w:asciiTheme="majorHAnsi" w:hAnsiTheme="majorHAnsi" w:cstheme="majorHAnsi"/>
          <w:sz w:val="24"/>
          <w:szCs w:val="24"/>
          <w:lang w:val="es-CO"/>
        </w:rPr>
        <w:t>la naturaleza del</w:t>
      </w:r>
      <w:r w:rsidRPr="00CB6FD2">
        <w:rPr>
          <w:rFonts w:asciiTheme="majorHAnsi" w:hAnsiTheme="majorHAnsi" w:cstheme="majorHAnsi"/>
          <w:sz w:val="24"/>
          <w:szCs w:val="24"/>
          <w:lang w:val="es-CO"/>
        </w:rPr>
        <w:t xml:space="preserve"> índice</w:t>
      </w:r>
      <w:r w:rsidR="009118C5" w:rsidRPr="00CB6FD2">
        <w:rPr>
          <w:rFonts w:asciiTheme="majorHAnsi" w:hAnsiTheme="majorHAnsi" w:cstheme="majorHAnsi"/>
          <w:sz w:val="24"/>
          <w:szCs w:val="24"/>
          <w:lang w:val="es-CO"/>
        </w:rPr>
        <w:t xml:space="preserve">. ¿Qué incluye?, ¿qué </w:t>
      </w:r>
      <w:r w:rsidR="00002F2E" w:rsidRPr="00CB6FD2">
        <w:rPr>
          <w:rFonts w:asciiTheme="majorHAnsi" w:hAnsiTheme="majorHAnsi" w:cstheme="majorHAnsi"/>
          <w:sz w:val="24"/>
          <w:szCs w:val="24"/>
          <w:lang w:val="es-CO"/>
        </w:rPr>
        <w:t>sectores o industrias se</w:t>
      </w:r>
      <w:r w:rsidR="009118C5" w:rsidRPr="00CB6FD2">
        <w:rPr>
          <w:rFonts w:asciiTheme="majorHAnsi" w:hAnsiTheme="majorHAnsi" w:cstheme="majorHAnsi"/>
          <w:sz w:val="24"/>
          <w:szCs w:val="24"/>
          <w:lang w:val="es-CO"/>
        </w:rPr>
        <w:t xml:space="preserve"> tiene</w:t>
      </w:r>
      <w:r w:rsidR="00002F2E" w:rsidRPr="00CB6FD2">
        <w:rPr>
          <w:rFonts w:asciiTheme="majorHAnsi" w:hAnsiTheme="majorHAnsi" w:cstheme="majorHAnsi"/>
          <w:sz w:val="24"/>
          <w:szCs w:val="24"/>
          <w:lang w:val="es-CO"/>
        </w:rPr>
        <w:t>n</w:t>
      </w:r>
      <w:r w:rsidR="009118C5" w:rsidRPr="00CB6FD2">
        <w:rPr>
          <w:rFonts w:asciiTheme="majorHAnsi" w:hAnsiTheme="majorHAnsi" w:cstheme="majorHAnsi"/>
          <w:sz w:val="24"/>
          <w:szCs w:val="24"/>
          <w:lang w:val="es-CO"/>
        </w:rPr>
        <w:t xml:space="preserve"> en cuenta?</w:t>
      </w:r>
    </w:p>
    <w:p w14:paraId="3152A2AC" w14:textId="43FE5449" w:rsidR="00EF1B84" w:rsidRPr="00CB6FD2" w:rsidRDefault="00EF1B84" w:rsidP="00EF1B84">
      <w:pPr>
        <w:pStyle w:val="Prrafodelista"/>
        <w:numPr>
          <w:ilvl w:val="0"/>
          <w:numId w:val="13"/>
        </w:numPr>
        <w:rPr>
          <w:rFonts w:asciiTheme="majorHAnsi" w:hAnsiTheme="majorHAnsi" w:cstheme="majorHAnsi"/>
          <w:highlight w:val="yellow"/>
        </w:rPr>
      </w:pPr>
      <w:r w:rsidRPr="00CB6FD2">
        <w:rPr>
          <w:rFonts w:asciiTheme="majorHAnsi" w:hAnsiTheme="majorHAnsi" w:cstheme="majorHAnsi"/>
          <w:highlight w:val="yellow"/>
          <w:lang w:val="es-CO"/>
        </w:rPr>
        <w:t xml:space="preserve">Índice Tecnología – Este índice contiene las 10 principales acciones del sector tecnología que se transan en la bolsa de valores de Nueva York. </w:t>
      </w:r>
      <w:proofErr w:type="spellStart"/>
      <w:r w:rsidRPr="00CB6FD2">
        <w:rPr>
          <w:rFonts w:asciiTheme="majorHAnsi" w:hAnsiTheme="majorHAnsi" w:cstheme="majorHAnsi"/>
          <w:highlight w:val="yellow"/>
          <w:lang w:val="en-GB"/>
        </w:rPr>
        <w:t>Incluye</w:t>
      </w:r>
      <w:proofErr w:type="spellEnd"/>
      <w:r w:rsidRPr="00CB6FD2">
        <w:rPr>
          <w:rFonts w:asciiTheme="majorHAnsi" w:hAnsiTheme="majorHAnsi" w:cstheme="majorHAnsi"/>
          <w:highlight w:val="yellow"/>
          <w:lang w:val="en-GB"/>
        </w:rPr>
        <w:t xml:space="preserve"> las </w:t>
      </w:r>
      <w:proofErr w:type="spellStart"/>
      <w:r w:rsidRPr="00CB6FD2">
        <w:rPr>
          <w:rFonts w:asciiTheme="majorHAnsi" w:hAnsiTheme="majorHAnsi" w:cstheme="majorHAnsi"/>
          <w:highlight w:val="yellow"/>
          <w:lang w:val="en-GB"/>
        </w:rPr>
        <w:t>siguientes</w:t>
      </w:r>
      <w:proofErr w:type="spellEnd"/>
      <w:r w:rsidRPr="00CB6FD2">
        <w:rPr>
          <w:rFonts w:asciiTheme="majorHAnsi" w:hAnsiTheme="majorHAnsi" w:cstheme="majorHAnsi"/>
          <w:highlight w:val="yellow"/>
          <w:lang w:val="en-GB"/>
        </w:rPr>
        <w:t xml:space="preserve"> </w:t>
      </w:r>
      <w:proofErr w:type="spellStart"/>
      <w:r w:rsidRPr="00CB6FD2">
        <w:rPr>
          <w:rFonts w:asciiTheme="majorHAnsi" w:hAnsiTheme="majorHAnsi" w:cstheme="majorHAnsi"/>
          <w:highlight w:val="yellow"/>
          <w:lang w:val="en-GB"/>
        </w:rPr>
        <w:t>empresas</w:t>
      </w:r>
      <w:proofErr w:type="spellEnd"/>
      <w:r w:rsidRPr="00CB6FD2">
        <w:rPr>
          <w:rFonts w:asciiTheme="majorHAnsi" w:hAnsiTheme="majorHAnsi" w:cstheme="majorHAnsi"/>
          <w:highlight w:val="yellow"/>
          <w:lang w:val="en-GB"/>
        </w:rPr>
        <w:t xml:space="preserve">: NVIDIA (NVDA), Apple (AAPL), Microsoft (MSFT), Broadcom (AVGO), Micron Technology (MU), Oracle (ORCL), Advanced Micro Devices (AMD), Cisco Systems (CSCO), Lam Research (LRCX) y Applied Materials (AMAT). </w:t>
      </w:r>
    </w:p>
    <w:p w14:paraId="1DCC5C51" w14:textId="77777777" w:rsidR="00624266" w:rsidRPr="00CB6FD2" w:rsidRDefault="00624266" w:rsidP="00EF1B84">
      <w:pPr>
        <w:pStyle w:val="Prrafodelista"/>
        <w:numPr>
          <w:ilvl w:val="0"/>
          <w:numId w:val="13"/>
        </w:numPr>
        <w:rPr>
          <w:rFonts w:asciiTheme="majorHAnsi" w:hAnsiTheme="majorHAnsi" w:cstheme="majorHAnsi"/>
          <w:highlight w:val="yellow"/>
          <w:lang w:val="es-CO"/>
        </w:rPr>
      </w:pPr>
      <w:r w:rsidRPr="00CB6FD2">
        <w:rPr>
          <w:rFonts w:asciiTheme="majorHAnsi" w:hAnsiTheme="majorHAnsi" w:cstheme="majorHAnsi"/>
          <w:highlight w:val="yellow"/>
          <w:lang w:val="es-CO"/>
        </w:rPr>
        <w:t xml:space="preserve">Índice Consumo Básico – Este índice contiene las 10 principales acciones del sector de consumo básico en Estados Unidos que se transan en la bolsa de valores de Nueva York, representando principalmente a las compañías más grandes y consolidadas del mercado en bienes de consumo esencial. Incluye las siguientes empresas: Walmart (WMT), Costco (COST), Procter &amp; Gamble (PG), Coca-Cola (KO), Philip Morris International (PM), PepsiCo (PEP), </w:t>
      </w:r>
      <w:proofErr w:type="spellStart"/>
      <w:r w:rsidRPr="00CB6FD2">
        <w:rPr>
          <w:rFonts w:asciiTheme="majorHAnsi" w:hAnsiTheme="majorHAnsi" w:cstheme="majorHAnsi"/>
          <w:highlight w:val="yellow"/>
          <w:lang w:val="es-CO"/>
        </w:rPr>
        <w:t>Altria</w:t>
      </w:r>
      <w:proofErr w:type="spellEnd"/>
      <w:r w:rsidRPr="00CB6FD2">
        <w:rPr>
          <w:rFonts w:asciiTheme="majorHAnsi" w:hAnsiTheme="majorHAnsi" w:cstheme="majorHAnsi"/>
          <w:highlight w:val="yellow"/>
          <w:lang w:val="es-CO"/>
        </w:rPr>
        <w:t xml:space="preserve"> (MO), Monster Beverage (MNST), Mondelez International (MDLZ) y Colgate-Palmolive (CL).</w:t>
      </w:r>
    </w:p>
    <w:p w14:paraId="30CDCC03" w14:textId="60923B7B" w:rsidR="00EF1B84" w:rsidRPr="00CB6FD2" w:rsidRDefault="00624266" w:rsidP="00EF1B84">
      <w:pPr>
        <w:pStyle w:val="Prrafodelista"/>
        <w:numPr>
          <w:ilvl w:val="0"/>
          <w:numId w:val="13"/>
        </w:numPr>
        <w:rPr>
          <w:rFonts w:asciiTheme="majorHAnsi" w:hAnsiTheme="majorHAnsi" w:cstheme="majorHAnsi"/>
          <w:highlight w:val="yellow"/>
          <w:lang w:val="en-GB"/>
        </w:rPr>
      </w:pPr>
      <w:r w:rsidRPr="00CB6FD2">
        <w:rPr>
          <w:rFonts w:asciiTheme="majorHAnsi" w:hAnsiTheme="majorHAnsi" w:cstheme="majorHAnsi"/>
          <w:highlight w:val="yellow"/>
          <w:lang w:val="es-CO"/>
        </w:rPr>
        <w:t>Índice Inmobiliario – Este índice contiene las 10 principales acciones del sector inmobiliario en Estados Unidos que se transan en la bolsa de valores de Nueva York, representando principalmente empresas de inversión inmobiliaria (</w:t>
      </w:r>
      <w:proofErr w:type="spellStart"/>
      <w:r w:rsidRPr="00CB6FD2">
        <w:rPr>
          <w:rFonts w:asciiTheme="majorHAnsi" w:hAnsiTheme="majorHAnsi" w:cstheme="majorHAnsi"/>
          <w:highlight w:val="yellow"/>
          <w:lang w:val="es-CO"/>
        </w:rPr>
        <w:t>REITs</w:t>
      </w:r>
      <w:proofErr w:type="spellEnd"/>
      <w:r w:rsidRPr="00CB6FD2">
        <w:rPr>
          <w:rFonts w:asciiTheme="majorHAnsi" w:hAnsiTheme="majorHAnsi" w:cstheme="majorHAnsi"/>
          <w:highlight w:val="yellow"/>
          <w:lang w:val="es-CO"/>
        </w:rPr>
        <w:t xml:space="preserve">) y compañías vinculadas a la gestión y desarrollo de activos inmobiliarios comerciales. </w:t>
      </w:r>
      <w:proofErr w:type="spellStart"/>
      <w:r w:rsidRPr="00CB6FD2">
        <w:rPr>
          <w:rFonts w:asciiTheme="majorHAnsi" w:hAnsiTheme="majorHAnsi" w:cstheme="majorHAnsi"/>
          <w:highlight w:val="yellow"/>
          <w:lang w:val="en-GB"/>
        </w:rPr>
        <w:t>Incluye</w:t>
      </w:r>
      <w:proofErr w:type="spellEnd"/>
      <w:r w:rsidRPr="00CB6FD2">
        <w:rPr>
          <w:rFonts w:asciiTheme="majorHAnsi" w:hAnsiTheme="majorHAnsi" w:cstheme="majorHAnsi"/>
          <w:highlight w:val="yellow"/>
          <w:lang w:val="en-GB"/>
        </w:rPr>
        <w:t xml:space="preserve"> las </w:t>
      </w:r>
      <w:proofErr w:type="spellStart"/>
      <w:r w:rsidRPr="00CB6FD2">
        <w:rPr>
          <w:rFonts w:asciiTheme="majorHAnsi" w:hAnsiTheme="majorHAnsi" w:cstheme="majorHAnsi"/>
          <w:highlight w:val="yellow"/>
          <w:lang w:val="en-GB"/>
        </w:rPr>
        <w:t>siguientes</w:t>
      </w:r>
      <w:proofErr w:type="spellEnd"/>
      <w:r w:rsidRPr="00CB6FD2">
        <w:rPr>
          <w:rFonts w:asciiTheme="majorHAnsi" w:hAnsiTheme="majorHAnsi" w:cstheme="majorHAnsi"/>
          <w:highlight w:val="yellow"/>
          <w:lang w:val="en-GB"/>
        </w:rPr>
        <w:t xml:space="preserve"> </w:t>
      </w:r>
      <w:proofErr w:type="spellStart"/>
      <w:r w:rsidRPr="00CB6FD2">
        <w:rPr>
          <w:rFonts w:asciiTheme="majorHAnsi" w:hAnsiTheme="majorHAnsi" w:cstheme="majorHAnsi"/>
          <w:highlight w:val="yellow"/>
          <w:lang w:val="en-GB"/>
        </w:rPr>
        <w:t>empresas</w:t>
      </w:r>
      <w:proofErr w:type="spellEnd"/>
      <w:r w:rsidRPr="00CB6FD2">
        <w:rPr>
          <w:rFonts w:asciiTheme="majorHAnsi" w:hAnsiTheme="majorHAnsi" w:cstheme="majorHAnsi"/>
          <w:highlight w:val="yellow"/>
          <w:lang w:val="en-GB"/>
        </w:rPr>
        <w:t>: Welltower (WELL), Prologis (PLD), Equinix (EQIX), American Tower (AMT), Digital Realty (DLR), Simon Property Group (SPG), Realty Income (O), Public Storage (PSA), Ventas (VTR) y CBRE Group (CBRE).</w:t>
      </w:r>
    </w:p>
    <w:p w14:paraId="248EDA1A" w14:textId="05373B8B" w:rsidR="00002F2E" w:rsidRPr="00CB6FD2" w:rsidRDefault="00002F2E" w:rsidP="00416B3A">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Calcular los retornos aritméticos diarios de cada activo para los 3 índices para los 10 años.</w:t>
      </w:r>
    </w:p>
    <w:p w14:paraId="6A2B2337" w14:textId="10BBE8B3" w:rsidR="00624266" w:rsidRPr="00CB6FD2" w:rsidRDefault="00624266" w:rsidP="00624266">
      <w:pPr>
        <w:rPr>
          <w:rFonts w:asciiTheme="majorHAnsi" w:hAnsiTheme="majorHAnsi" w:cstheme="majorHAnsi"/>
          <w:lang w:val="es-CO"/>
        </w:rPr>
      </w:pPr>
      <w:r w:rsidRPr="00CB6FD2">
        <w:rPr>
          <w:rFonts w:asciiTheme="majorHAnsi" w:hAnsiTheme="majorHAnsi" w:cstheme="majorHAnsi"/>
          <w:highlight w:val="yellow"/>
          <w:lang w:val="es-CO"/>
        </w:rPr>
        <w:t xml:space="preserve">(Ver </w:t>
      </w:r>
      <w:r w:rsidR="00EE57E2" w:rsidRPr="00CB6FD2">
        <w:rPr>
          <w:rFonts w:asciiTheme="majorHAnsi" w:hAnsiTheme="majorHAnsi" w:cstheme="majorHAnsi"/>
          <w:highlight w:val="yellow"/>
          <w:lang w:val="es-CO"/>
        </w:rPr>
        <w:t>Excel Datos</w:t>
      </w:r>
      <w:r w:rsidR="002F072D" w:rsidRPr="00CB6FD2">
        <w:rPr>
          <w:rFonts w:asciiTheme="majorHAnsi" w:hAnsiTheme="majorHAnsi" w:cstheme="majorHAnsi"/>
          <w:highlight w:val="yellow"/>
          <w:lang w:val="es-CO"/>
        </w:rPr>
        <w:t xml:space="preserve"> Sectores </w:t>
      </w:r>
      <w:proofErr w:type="spellStart"/>
      <w:r w:rsidR="002F072D" w:rsidRPr="00CB6FD2">
        <w:rPr>
          <w:rFonts w:asciiTheme="majorHAnsi" w:hAnsiTheme="majorHAnsi" w:cstheme="majorHAnsi"/>
          <w:highlight w:val="yellow"/>
          <w:lang w:val="es-CO"/>
        </w:rPr>
        <w:t>Equity</w:t>
      </w:r>
      <w:proofErr w:type="spellEnd"/>
      <w:r w:rsidR="002F072D" w:rsidRPr="00CB6FD2">
        <w:rPr>
          <w:rFonts w:asciiTheme="majorHAnsi" w:hAnsiTheme="majorHAnsi" w:cstheme="majorHAnsi"/>
          <w:highlight w:val="yellow"/>
          <w:lang w:val="es-CO"/>
        </w:rPr>
        <w:t xml:space="preserve"> (</w:t>
      </w:r>
      <w:proofErr w:type="spellStart"/>
      <w:r w:rsidR="002F072D" w:rsidRPr="00CB6FD2">
        <w:rPr>
          <w:rFonts w:asciiTheme="majorHAnsi" w:hAnsiTheme="majorHAnsi" w:cstheme="majorHAnsi"/>
          <w:highlight w:val="yellow"/>
          <w:lang w:val="es-CO"/>
        </w:rPr>
        <w:t>Index</w:t>
      </w:r>
      <w:proofErr w:type="spellEnd"/>
      <w:r w:rsidR="002F072D" w:rsidRPr="00CB6FD2">
        <w:rPr>
          <w:rFonts w:asciiTheme="majorHAnsi" w:hAnsiTheme="majorHAnsi" w:cstheme="majorHAnsi"/>
          <w:highlight w:val="yellow"/>
          <w:lang w:val="es-CO"/>
        </w:rPr>
        <w:t xml:space="preserve"> </w:t>
      </w:r>
      <w:proofErr w:type="spellStart"/>
      <w:r w:rsidR="002F072D" w:rsidRPr="00CB6FD2">
        <w:rPr>
          <w:rFonts w:asciiTheme="majorHAnsi" w:hAnsiTheme="majorHAnsi" w:cstheme="majorHAnsi"/>
          <w:highlight w:val="yellow"/>
          <w:lang w:val="es-CO"/>
        </w:rPr>
        <w:t>review</w:t>
      </w:r>
      <w:proofErr w:type="spellEnd"/>
      <w:r w:rsidR="002F072D" w:rsidRPr="00CB6FD2">
        <w:rPr>
          <w:rFonts w:asciiTheme="majorHAnsi" w:hAnsiTheme="majorHAnsi" w:cstheme="majorHAnsi"/>
          <w:highlight w:val="yellow"/>
          <w:lang w:val="es-CO"/>
        </w:rPr>
        <w:t>)</w:t>
      </w:r>
      <w:r w:rsidRPr="00CB6FD2">
        <w:rPr>
          <w:rFonts w:asciiTheme="majorHAnsi" w:hAnsiTheme="majorHAnsi" w:cstheme="majorHAnsi"/>
          <w:highlight w:val="yellow"/>
          <w:lang w:val="es-CO"/>
        </w:rPr>
        <w:t xml:space="preserve"> </w:t>
      </w:r>
      <w:r w:rsidR="002F072D" w:rsidRPr="00CB6FD2">
        <w:rPr>
          <w:rFonts w:asciiTheme="majorHAnsi" w:hAnsiTheme="majorHAnsi" w:cstheme="majorHAnsi"/>
          <w:highlight w:val="yellow"/>
          <w:lang w:val="es-CO"/>
        </w:rPr>
        <w:t xml:space="preserve">– Hojas: </w:t>
      </w:r>
      <w:r w:rsidRPr="00CB6FD2">
        <w:rPr>
          <w:rFonts w:asciiTheme="majorHAnsi" w:hAnsiTheme="majorHAnsi" w:cstheme="majorHAnsi"/>
          <w:highlight w:val="yellow"/>
          <w:lang w:val="es-CO"/>
        </w:rPr>
        <w:t>Tecnología / Consumo Básico / Inmobiliario)</w:t>
      </w:r>
    </w:p>
    <w:p w14:paraId="1DB94716" w14:textId="4FBEEC67" w:rsidR="00416B3A" w:rsidRPr="00CB6FD2" w:rsidRDefault="00416B3A" w:rsidP="00416B3A">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 xml:space="preserve">Hacer un gráfico de cajas bigotes para cada </w:t>
      </w:r>
      <w:r w:rsidR="00A43EF5" w:rsidRPr="00CB6FD2">
        <w:rPr>
          <w:rFonts w:asciiTheme="majorHAnsi" w:hAnsiTheme="majorHAnsi" w:cstheme="majorHAnsi"/>
          <w:sz w:val="24"/>
          <w:szCs w:val="24"/>
          <w:lang w:val="es-CO"/>
        </w:rPr>
        <w:t>índice con los retornos diarios ponderados</w:t>
      </w:r>
      <w:r w:rsidRPr="00CB6FD2">
        <w:rPr>
          <w:rFonts w:asciiTheme="majorHAnsi" w:hAnsiTheme="majorHAnsi" w:cstheme="majorHAnsi"/>
          <w:sz w:val="24"/>
          <w:szCs w:val="24"/>
          <w:lang w:val="es-CO"/>
        </w:rPr>
        <w:t>, mostrando los valores atípicos</w:t>
      </w:r>
      <w:r w:rsidR="009118C5" w:rsidRPr="00CB6FD2">
        <w:rPr>
          <w:rFonts w:asciiTheme="majorHAnsi" w:hAnsiTheme="majorHAnsi" w:cstheme="majorHAnsi"/>
          <w:sz w:val="24"/>
          <w:szCs w:val="24"/>
          <w:lang w:val="es-CO"/>
        </w:rPr>
        <w:t>.</w:t>
      </w:r>
    </w:p>
    <w:p w14:paraId="20D89FD6" w14:textId="6FB8D8AB" w:rsidR="00624266" w:rsidRPr="00CB6FD2" w:rsidRDefault="00624266" w:rsidP="00624266">
      <w:pPr>
        <w:rPr>
          <w:rFonts w:asciiTheme="majorHAnsi" w:hAnsiTheme="majorHAnsi" w:cstheme="majorHAnsi"/>
          <w:lang w:val="es-CO"/>
        </w:rPr>
      </w:pPr>
      <w:r w:rsidRPr="00CB6FD2">
        <w:rPr>
          <w:rFonts w:asciiTheme="majorHAnsi" w:hAnsiTheme="majorHAnsi" w:cstheme="majorHAnsi"/>
          <w:highlight w:val="yellow"/>
          <w:lang w:val="es-CO"/>
        </w:rPr>
        <w:t xml:space="preserve">(Ver Excel </w:t>
      </w:r>
      <w:r w:rsidR="002F072D" w:rsidRPr="00CB6FD2">
        <w:rPr>
          <w:rFonts w:asciiTheme="majorHAnsi" w:hAnsiTheme="majorHAnsi" w:cstheme="majorHAnsi"/>
          <w:highlight w:val="yellow"/>
          <w:lang w:val="es-CO"/>
        </w:rPr>
        <w:t xml:space="preserve">Datos Sectores </w:t>
      </w:r>
      <w:proofErr w:type="spellStart"/>
      <w:r w:rsidR="002F072D" w:rsidRPr="00CB6FD2">
        <w:rPr>
          <w:rFonts w:asciiTheme="majorHAnsi" w:hAnsiTheme="majorHAnsi" w:cstheme="majorHAnsi"/>
          <w:highlight w:val="yellow"/>
          <w:lang w:val="es-CO"/>
        </w:rPr>
        <w:t>Equity</w:t>
      </w:r>
      <w:proofErr w:type="spellEnd"/>
      <w:r w:rsidR="002F072D" w:rsidRPr="00CB6FD2">
        <w:rPr>
          <w:rFonts w:asciiTheme="majorHAnsi" w:hAnsiTheme="majorHAnsi" w:cstheme="majorHAnsi"/>
          <w:highlight w:val="yellow"/>
          <w:lang w:val="es-CO"/>
        </w:rPr>
        <w:t xml:space="preserve"> (</w:t>
      </w:r>
      <w:proofErr w:type="spellStart"/>
      <w:r w:rsidR="002F072D" w:rsidRPr="00CB6FD2">
        <w:rPr>
          <w:rFonts w:asciiTheme="majorHAnsi" w:hAnsiTheme="majorHAnsi" w:cstheme="majorHAnsi"/>
          <w:highlight w:val="yellow"/>
          <w:lang w:val="es-CO"/>
        </w:rPr>
        <w:t>Index</w:t>
      </w:r>
      <w:proofErr w:type="spellEnd"/>
      <w:r w:rsidR="002F072D" w:rsidRPr="00CB6FD2">
        <w:rPr>
          <w:rFonts w:asciiTheme="majorHAnsi" w:hAnsiTheme="majorHAnsi" w:cstheme="majorHAnsi"/>
          <w:highlight w:val="yellow"/>
          <w:lang w:val="es-CO"/>
        </w:rPr>
        <w:t xml:space="preserve"> </w:t>
      </w:r>
      <w:proofErr w:type="spellStart"/>
      <w:r w:rsidR="002F072D" w:rsidRPr="00CB6FD2">
        <w:rPr>
          <w:rFonts w:asciiTheme="majorHAnsi" w:hAnsiTheme="majorHAnsi" w:cstheme="majorHAnsi"/>
          <w:highlight w:val="yellow"/>
          <w:lang w:val="es-CO"/>
        </w:rPr>
        <w:t>review</w:t>
      </w:r>
      <w:proofErr w:type="spellEnd"/>
      <w:r w:rsidR="002F072D" w:rsidRPr="00CB6FD2">
        <w:rPr>
          <w:rFonts w:asciiTheme="majorHAnsi" w:hAnsiTheme="majorHAnsi" w:cstheme="majorHAnsi"/>
          <w:highlight w:val="yellow"/>
          <w:lang w:val="es-CO"/>
        </w:rPr>
        <w:t xml:space="preserve">) </w:t>
      </w:r>
      <w:r w:rsidRPr="00CB6FD2">
        <w:rPr>
          <w:rFonts w:asciiTheme="majorHAnsi" w:hAnsiTheme="majorHAnsi" w:cstheme="majorHAnsi"/>
          <w:highlight w:val="yellow"/>
          <w:lang w:val="es-CO"/>
        </w:rPr>
        <w:t xml:space="preserve">– </w:t>
      </w:r>
      <w:r w:rsidR="002F072D" w:rsidRPr="00CB6FD2">
        <w:rPr>
          <w:rFonts w:asciiTheme="majorHAnsi" w:hAnsiTheme="majorHAnsi" w:cstheme="majorHAnsi"/>
          <w:highlight w:val="yellow"/>
          <w:lang w:val="es-CO"/>
        </w:rPr>
        <w:t xml:space="preserve">Hoja: </w:t>
      </w:r>
      <w:r w:rsidRPr="00CB6FD2">
        <w:rPr>
          <w:rFonts w:asciiTheme="majorHAnsi" w:hAnsiTheme="majorHAnsi" w:cstheme="majorHAnsi"/>
          <w:highlight w:val="yellow"/>
          <w:lang w:val="es-CO"/>
        </w:rPr>
        <w:t>Gráficas)</w:t>
      </w:r>
    </w:p>
    <w:p w14:paraId="2D13D79D" w14:textId="528E5750" w:rsidR="00416B3A" w:rsidRPr="00CB6FD2" w:rsidRDefault="00A43EF5" w:rsidP="00A43EF5">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Hacer un histograma para cada índice con los retornos diarios ponderados y analizar su forma y dispersión.</w:t>
      </w:r>
      <w:r w:rsidR="007F778F" w:rsidRPr="00CB6FD2">
        <w:rPr>
          <w:rFonts w:asciiTheme="majorHAnsi" w:hAnsiTheme="majorHAnsi" w:cstheme="majorHAnsi"/>
          <w:sz w:val="24"/>
          <w:szCs w:val="24"/>
          <w:lang w:val="es-CO"/>
        </w:rPr>
        <w:t xml:space="preserve"> </w:t>
      </w:r>
    </w:p>
    <w:p w14:paraId="16EAACF7" w14:textId="71D5DB0D" w:rsidR="007F778F" w:rsidRPr="00CB6FD2" w:rsidRDefault="007F778F" w:rsidP="007F778F">
      <w:pPr>
        <w:rPr>
          <w:rFonts w:asciiTheme="majorHAnsi" w:hAnsiTheme="majorHAnsi" w:cstheme="majorHAnsi"/>
          <w:highlight w:val="yellow"/>
          <w:lang w:val="es-CO"/>
        </w:rPr>
      </w:pPr>
      <w:r w:rsidRPr="00CB6FD2">
        <w:rPr>
          <w:rFonts w:asciiTheme="majorHAnsi" w:hAnsiTheme="majorHAnsi" w:cstheme="majorHAnsi"/>
          <w:highlight w:val="yellow"/>
          <w:lang w:val="es-CO"/>
        </w:rPr>
        <w:t>Los histogramas de los retornos diarios muestran que, en los tres sectores, la distribución se concentra alrededor de cero, lo cual es consistente con el comportamiento típico de retornos financieros. Sin embargo, existen diferencias importantes en la dispersión. El sector de tecnología presenta la mayor amplitud en los retornos, con colas más largas, lo que indica una mayor variabilidad y la presencia de movimientos extremos más frecuentes. Esto sugiere que es un sector más volátil, donde los cambios diarios pueden ser más pronunciados.</w:t>
      </w:r>
    </w:p>
    <w:p w14:paraId="35EB7734" w14:textId="43FA3BD3" w:rsidR="007F778F" w:rsidRPr="00CB6FD2" w:rsidRDefault="007F778F" w:rsidP="007F778F">
      <w:pPr>
        <w:rPr>
          <w:rFonts w:asciiTheme="majorHAnsi" w:hAnsiTheme="majorHAnsi" w:cstheme="majorHAnsi"/>
          <w:lang w:val="es-CO"/>
        </w:rPr>
      </w:pPr>
      <w:r w:rsidRPr="00CB6FD2">
        <w:rPr>
          <w:rFonts w:asciiTheme="majorHAnsi" w:hAnsiTheme="majorHAnsi" w:cstheme="majorHAnsi"/>
          <w:highlight w:val="yellow"/>
          <w:lang w:val="es-CO"/>
        </w:rPr>
        <w:lastRenderedPageBreak/>
        <w:t xml:space="preserve">Por su parte, el sector de consumo básico muestra una distribución más concentrada y estrecha, lo que refleja menor dispersión en los retornos diarios. Esto es consistente con su carácter más estable, donde las variaciones son más moderadas y hay menos presencia de valores extremos. En cuanto al sector inmobiliario, se observa un comportamiento intermedio: presenta más dispersión que consumo básico, pero menos que tecnología. También se identifican algunas colas que sugieren la presencia de </w:t>
      </w:r>
      <w:proofErr w:type="spellStart"/>
      <w:r w:rsidRPr="00CB6FD2">
        <w:rPr>
          <w:rFonts w:asciiTheme="majorHAnsi" w:hAnsiTheme="majorHAnsi" w:cstheme="majorHAnsi"/>
          <w:highlight w:val="yellow"/>
          <w:lang w:val="es-CO"/>
        </w:rPr>
        <w:t>outliers</w:t>
      </w:r>
      <w:proofErr w:type="spellEnd"/>
      <w:r w:rsidRPr="00CB6FD2">
        <w:rPr>
          <w:rFonts w:asciiTheme="majorHAnsi" w:hAnsiTheme="majorHAnsi" w:cstheme="majorHAnsi"/>
          <w:highlight w:val="yellow"/>
          <w:lang w:val="es-CO"/>
        </w:rPr>
        <w:t>, posiblemente asociados a choques específicos del sector. En conjunto, los histogramas evidencian diferencias claras en términos de riesgo: tecnología es más volátil, consumo básico más estable, e inmobiliario ocupa una posición intermedia.</w:t>
      </w:r>
    </w:p>
    <w:p w14:paraId="5D824FD5" w14:textId="1CD5AF60" w:rsidR="002F072D" w:rsidRPr="00CB6FD2" w:rsidRDefault="002F072D" w:rsidP="002F072D">
      <w:pPr>
        <w:rPr>
          <w:rFonts w:asciiTheme="majorHAnsi" w:hAnsiTheme="majorHAnsi" w:cstheme="majorHAnsi"/>
          <w:lang w:val="es-CO"/>
        </w:rPr>
      </w:pPr>
      <w:r w:rsidRPr="00CB6FD2">
        <w:rPr>
          <w:rFonts w:asciiTheme="majorHAnsi" w:hAnsiTheme="majorHAnsi" w:cstheme="majorHAnsi"/>
          <w:highlight w:val="yellow"/>
          <w:lang w:val="es-CO"/>
        </w:rPr>
        <w:t xml:space="preserve">(Ver Excel Datos Sectores </w:t>
      </w:r>
      <w:proofErr w:type="spellStart"/>
      <w:r w:rsidRPr="00CB6FD2">
        <w:rPr>
          <w:rFonts w:asciiTheme="majorHAnsi" w:hAnsiTheme="majorHAnsi" w:cstheme="majorHAnsi"/>
          <w:highlight w:val="yellow"/>
          <w:lang w:val="es-CO"/>
        </w:rPr>
        <w:t>Equity</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Index</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review</w:t>
      </w:r>
      <w:proofErr w:type="spellEnd"/>
      <w:r w:rsidRPr="00CB6FD2">
        <w:rPr>
          <w:rFonts w:asciiTheme="majorHAnsi" w:hAnsiTheme="majorHAnsi" w:cstheme="majorHAnsi"/>
          <w:highlight w:val="yellow"/>
          <w:lang w:val="es-CO"/>
        </w:rPr>
        <w:t>) – Hoja: Gráficas)</w:t>
      </w:r>
    </w:p>
    <w:p w14:paraId="028C5A90" w14:textId="77777777" w:rsidR="007F778F" w:rsidRPr="00CB6FD2" w:rsidRDefault="007F778F" w:rsidP="007F778F">
      <w:pPr>
        <w:pStyle w:val="Listaconvietas"/>
        <w:numPr>
          <w:ilvl w:val="0"/>
          <w:numId w:val="0"/>
        </w:numPr>
        <w:ind w:left="360" w:hanging="360"/>
        <w:rPr>
          <w:rFonts w:asciiTheme="majorHAnsi" w:hAnsiTheme="majorHAnsi" w:cstheme="majorHAnsi"/>
          <w:sz w:val="24"/>
          <w:szCs w:val="24"/>
          <w:lang w:val="es-CO"/>
        </w:rPr>
      </w:pPr>
    </w:p>
    <w:p w14:paraId="0F8E6090" w14:textId="5A4293EE" w:rsidR="00416B3A" w:rsidRPr="00CB6FD2" w:rsidRDefault="00416B3A" w:rsidP="00416B3A">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Ha</w:t>
      </w:r>
      <w:r w:rsidR="009271AA" w:rsidRPr="00CB6FD2">
        <w:rPr>
          <w:rFonts w:asciiTheme="majorHAnsi" w:hAnsiTheme="majorHAnsi" w:cstheme="majorHAnsi"/>
          <w:sz w:val="24"/>
          <w:szCs w:val="24"/>
          <w:lang w:val="es-CO"/>
        </w:rPr>
        <w:t>cer</w:t>
      </w:r>
      <w:r w:rsidRPr="00CB6FD2">
        <w:rPr>
          <w:rFonts w:asciiTheme="majorHAnsi" w:hAnsiTheme="majorHAnsi" w:cstheme="majorHAnsi"/>
          <w:sz w:val="24"/>
          <w:szCs w:val="24"/>
          <w:lang w:val="es-CO"/>
        </w:rPr>
        <w:t xml:space="preserve"> un gráfico de línea</w:t>
      </w:r>
      <w:r w:rsidR="009271AA" w:rsidRPr="00CB6FD2">
        <w:rPr>
          <w:rFonts w:asciiTheme="majorHAnsi" w:hAnsiTheme="majorHAnsi" w:cstheme="majorHAnsi"/>
          <w:sz w:val="24"/>
          <w:szCs w:val="24"/>
          <w:lang w:val="es-CO"/>
        </w:rPr>
        <w:t xml:space="preserve"> con base 100 en enero 2015</w:t>
      </w:r>
      <w:r w:rsidRPr="00CB6FD2">
        <w:rPr>
          <w:rFonts w:asciiTheme="majorHAnsi" w:hAnsiTheme="majorHAnsi" w:cstheme="majorHAnsi"/>
          <w:sz w:val="24"/>
          <w:szCs w:val="24"/>
          <w:lang w:val="es-CO"/>
        </w:rPr>
        <w:t xml:space="preserve"> </w:t>
      </w:r>
      <w:r w:rsidR="009271AA" w:rsidRPr="00CB6FD2">
        <w:rPr>
          <w:rFonts w:asciiTheme="majorHAnsi" w:hAnsiTheme="majorHAnsi" w:cstheme="majorHAnsi"/>
          <w:sz w:val="24"/>
          <w:szCs w:val="24"/>
          <w:lang w:val="es-CO"/>
        </w:rPr>
        <w:t xml:space="preserve">para los índices </w:t>
      </w:r>
      <w:r w:rsidRPr="00CB6FD2">
        <w:rPr>
          <w:rFonts w:asciiTheme="majorHAnsi" w:hAnsiTheme="majorHAnsi" w:cstheme="majorHAnsi"/>
          <w:sz w:val="24"/>
          <w:szCs w:val="24"/>
          <w:lang w:val="es-CO"/>
        </w:rPr>
        <w:t>con los</w:t>
      </w:r>
      <w:r w:rsidR="00B10161" w:rsidRPr="00CB6FD2">
        <w:rPr>
          <w:rFonts w:asciiTheme="majorHAnsi" w:hAnsiTheme="majorHAnsi" w:cstheme="majorHAnsi"/>
          <w:sz w:val="24"/>
          <w:szCs w:val="24"/>
          <w:lang w:val="es-CO"/>
        </w:rPr>
        <w:t xml:space="preserve"> retornos ponderados </w:t>
      </w:r>
      <w:r w:rsidRPr="00CB6FD2">
        <w:rPr>
          <w:rFonts w:asciiTheme="majorHAnsi" w:hAnsiTheme="majorHAnsi" w:cstheme="majorHAnsi"/>
          <w:sz w:val="24"/>
          <w:szCs w:val="24"/>
          <w:lang w:val="es-CO"/>
        </w:rPr>
        <w:t>y comenta patrones</w:t>
      </w:r>
      <w:r w:rsidR="00B10161" w:rsidRPr="00CB6FD2">
        <w:rPr>
          <w:rFonts w:asciiTheme="majorHAnsi" w:hAnsiTheme="majorHAnsi" w:cstheme="majorHAnsi"/>
          <w:sz w:val="24"/>
          <w:szCs w:val="24"/>
          <w:lang w:val="es-CO"/>
        </w:rPr>
        <w:t xml:space="preserve"> o estacionalidades.</w:t>
      </w:r>
    </w:p>
    <w:p w14:paraId="27DBE504" w14:textId="344173EA" w:rsidR="007F778F" w:rsidRPr="00CB6FD2" w:rsidRDefault="007F778F" w:rsidP="007F778F">
      <w:pPr>
        <w:rPr>
          <w:rFonts w:asciiTheme="majorHAnsi" w:hAnsiTheme="majorHAnsi" w:cstheme="majorHAnsi"/>
          <w:highlight w:val="yellow"/>
          <w:lang w:val="es-CO"/>
        </w:rPr>
      </w:pPr>
      <w:r w:rsidRPr="00CB6FD2">
        <w:rPr>
          <w:rFonts w:asciiTheme="majorHAnsi" w:hAnsiTheme="majorHAnsi" w:cstheme="majorHAnsi"/>
          <w:highlight w:val="yellow"/>
          <w:lang w:val="es-CO"/>
        </w:rPr>
        <w:t>El gráfico con base 100 en enero de 2015 permite ver con claridad cómo han evolucionado los tres índices a lo largo del tiempo. El sector tecnología es el que muestra el mayor crecimiento, con una tendencia al alza bastante marcada, especialmente desde 2020, aunque con algunas caídas importantes en el camino. En contraste, el índice de consumo básico crece de forma más moderada y estable, lo que refleja que este tipo de bienes mantiene una demanda relativamente constante incluso en momentos de incertidumbre.</w:t>
      </w:r>
    </w:p>
    <w:p w14:paraId="22608A47" w14:textId="39ED8905" w:rsidR="007F778F" w:rsidRPr="00CB6FD2" w:rsidRDefault="007F778F" w:rsidP="007F778F">
      <w:pPr>
        <w:rPr>
          <w:rFonts w:asciiTheme="majorHAnsi" w:hAnsiTheme="majorHAnsi" w:cstheme="majorHAnsi"/>
          <w:lang w:val="es-CO"/>
        </w:rPr>
      </w:pPr>
      <w:r w:rsidRPr="00CB6FD2">
        <w:rPr>
          <w:rFonts w:asciiTheme="majorHAnsi" w:hAnsiTheme="majorHAnsi" w:cstheme="majorHAnsi"/>
          <w:highlight w:val="yellow"/>
          <w:lang w:val="es-CO"/>
        </w:rPr>
        <w:t>Por su parte, el índice inmobiliario tiene un comportamiento intermedio: crece de manera sostenida hasta 2021, cae en 2022 y luego se recupera parcialmente. Más que patrones estacionales claros, lo que se observa son movimientos asociados a cambios en el contexto económico, como la pandemia o el aumento en tasas de interés. En conjunto, los resultados muestran diferencias claras entre sectores: tecnología crece más pero es más inestable, consumo básico es más estable, e inmobiliario responde más a las condiciones generales de la economía.</w:t>
      </w:r>
    </w:p>
    <w:p w14:paraId="64544DE9" w14:textId="52A533AF" w:rsidR="008E0F23" w:rsidRPr="00CB6FD2" w:rsidRDefault="008E0F23" w:rsidP="008E0F23">
      <w:pPr>
        <w:rPr>
          <w:rFonts w:asciiTheme="majorHAnsi" w:hAnsiTheme="majorHAnsi" w:cstheme="majorHAnsi"/>
          <w:lang w:val="es-CO"/>
        </w:rPr>
      </w:pPr>
      <w:r w:rsidRPr="00CB6FD2">
        <w:rPr>
          <w:rFonts w:asciiTheme="majorHAnsi" w:hAnsiTheme="majorHAnsi" w:cstheme="majorHAnsi"/>
          <w:highlight w:val="yellow"/>
          <w:lang w:val="es-CO"/>
        </w:rPr>
        <w:t xml:space="preserve">(Ver Excel Datos Sectores </w:t>
      </w:r>
      <w:proofErr w:type="spellStart"/>
      <w:r w:rsidRPr="00CB6FD2">
        <w:rPr>
          <w:rFonts w:asciiTheme="majorHAnsi" w:hAnsiTheme="majorHAnsi" w:cstheme="majorHAnsi"/>
          <w:highlight w:val="yellow"/>
          <w:lang w:val="es-CO"/>
        </w:rPr>
        <w:t>Equity</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Index</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review</w:t>
      </w:r>
      <w:proofErr w:type="spellEnd"/>
      <w:r w:rsidRPr="00CB6FD2">
        <w:rPr>
          <w:rFonts w:asciiTheme="majorHAnsi" w:hAnsiTheme="majorHAnsi" w:cstheme="majorHAnsi"/>
          <w:highlight w:val="yellow"/>
          <w:lang w:val="es-CO"/>
        </w:rPr>
        <w:t>) – Hoja: Gráficas)</w:t>
      </w:r>
    </w:p>
    <w:p w14:paraId="5373C65F" w14:textId="70E9E8C9" w:rsidR="00573A27" w:rsidRPr="00CB6FD2" w:rsidRDefault="00573A27" w:rsidP="006F2737">
      <w:pPr>
        <w:pStyle w:val="Listaconvietas"/>
        <w:numPr>
          <w:ilvl w:val="0"/>
          <w:numId w:val="11"/>
        </w:numPr>
        <w:rPr>
          <w:rFonts w:asciiTheme="majorHAnsi" w:hAnsiTheme="majorHAnsi" w:cstheme="majorHAnsi"/>
          <w:b/>
          <w:bCs/>
          <w:sz w:val="24"/>
          <w:szCs w:val="24"/>
          <w:lang w:val="es-CO"/>
        </w:rPr>
      </w:pPr>
      <w:r w:rsidRPr="00CB6FD2">
        <w:rPr>
          <w:rFonts w:asciiTheme="majorHAnsi" w:hAnsiTheme="majorHAnsi" w:cstheme="majorHAnsi"/>
          <w:b/>
          <w:bCs/>
          <w:sz w:val="24"/>
          <w:szCs w:val="24"/>
          <w:lang w:val="es-CO"/>
        </w:rPr>
        <w:t>Mundo antes y después del COVID. Para 201</w:t>
      </w:r>
      <w:r w:rsidR="00B10161" w:rsidRPr="00CB6FD2">
        <w:rPr>
          <w:rFonts w:asciiTheme="majorHAnsi" w:hAnsiTheme="majorHAnsi" w:cstheme="majorHAnsi"/>
          <w:b/>
          <w:bCs/>
          <w:sz w:val="24"/>
          <w:szCs w:val="24"/>
          <w:lang w:val="es-CO"/>
        </w:rPr>
        <w:t>5</w:t>
      </w:r>
      <w:r w:rsidRPr="00CB6FD2">
        <w:rPr>
          <w:rFonts w:asciiTheme="majorHAnsi" w:hAnsiTheme="majorHAnsi" w:cstheme="majorHAnsi"/>
          <w:b/>
          <w:bCs/>
          <w:sz w:val="24"/>
          <w:szCs w:val="24"/>
          <w:lang w:val="es-CO"/>
        </w:rPr>
        <w:t xml:space="preserve"> y 202</w:t>
      </w:r>
      <w:r w:rsidR="00B10161" w:rsidRPr="00CB6FD2">
        <w:rPr>
          <w:rFonts w:asciiTheme="majorHAnsi" w:hAnsiTheme="majorHAnsi" w:cstheme="majorHAnsi"/>
          <w:b/>
          <w:bCs/>
          <w:sz w:val="24"/>
          <w:szCs w:val="24"/>
          <w:lang w:val="es-CO"/>
        </w:rPr>
        <w:t>5</w:t>
      </w:r>
      <w:r w:rsidRPr="00CB6FD2">
        <w:rPr>
          <w:rFonts w:asciiTheme="majorHAnsi" w:hAnsiTheme="majorHAnsi" w:cstheme="majorHAnsi"/>
          <w:b/>
          <w:bCs/>
          <w:sz w:val="24"/>
          <w:szCs w:val="24"/>
          <w:lang w:val="es-CO"/>
        </w:rPr>
        <w:t xml:space="preserve">: </w:t>
      </w:r>
    </w:p>
    <w:p w14:paraId="091E1185" w14:textId="77777777" w:rsidR="00CB6FD2" w:rsidRPr="00CB6FD2" w:rsidRDefault="006F2737" w:rsidP="00CB6FD2">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Calcular</w:t>
      </w:r>
      <w:r w:rsidR="00573A27" w:rsidRPr="00CB6FD2">
        <w:rPr>
          <w:rFonts w:asciiTheme="majorHAnsi" w:hAnsiTheme="majorHAnsi" w:cstheme="majorHAnsi"/>
          <w:sz w:val="24"/>
          <w:szCs w:val="24"/>
          <w:lang w:val="es-CO"/>
        </w:rPr>
        <w:t xml:space="preserve"> desviaciones estándar y número de observaciones</w:t>
      </w:r>
      <w:r w:rsidRPr="00CB6FD2">
        <w:rPr>
          <w:rFonts w:asciiTheme="majorHAnsi" w:hAnsiTheme="majorHAnsi" w:cstheme="majorHAnsi"/>
          <w:sz w:val="24"/>
          <w:szCs w:val="24"/>
          <w:lang w:val="es-CO"/>
        </w:rPr>
        <w:t xml:space="preserve"> para los retornos ponderados de cada índice</w:t>
      </w:r>
      <w:r w:rsidR="00573A27" w:rsidRPr="00CB6FD2">
        <w:rPr>
          <w:rFonts w:asciiTheme="majorHAnsi" w:hAnsiTheme="majorHAnsi" w:cstheme="majorHAnsi"/>
          <w:sz w:val="24"/>
          <w:szCs w:val="24"/>
          <w:lang w:val="es-CO"/>
        </w:rPr>
        <w:t>.</w:t>
      </w:r>
    </w:p>
    <w:p w14:paraId="2F9723CD" w14:textId="6C1F5573" w:rsidR="00CB6FD2" w:rsidRPr="00CB6FD2" w:rsidRDefault="00CB6FD2" w:rsidP="00CB6FD2">
      <w:pPr>
        <w:pStyle w:val="Listaconvietas"/>
        <w:numPr>
          <w:ilvl w:val="0"/>
          <w:numId w:val="0"/>
        </w:numPr>
        <w:ind w:left="1440"/>
        <w:rPr>
          <w:rFonts w:asciiTheme="majorHAnsi" w:hAnsiTheme="majorHAnsi" w:cstheme="majorHAnsi"/>
          <w:sz w:val="24"/>
          <w:szCs w:val="24"/>
          <w:lang w:val="es-CO"/>
        </w:rPr>
      </w:pPr>
      <w:r w:rsidRPr="00CB6FD2">
        <w:rPr>
          <w:rFonts w:asciiTheme="majorHAnsi" w:hAnsiTheme="majorHAnsi" w:cstheme="majorHAnsi"/>
          <w:highlight w:val="yellow"/>
          <w:lang w:val="es-CO"/>
        </w:rPr>
        <w:t xml:space="preserve">(Ver Excel Datos Sectores </w:t>
      </w:r>
      <w:proofErr w:type="spellStart"/>
      <w:r w:rsidRPr="00CB6FD2">
        <w:rPr>
          <w:rFonts w:asciiTheme="majorHAnsi" w:hAnsiTheme="majorHAnsi" w:cstheme="majorHAnsi"/>
          <w:highlight w:val="yellow"/>
          <w:lang w:val="es-CO"/>
        </w:rPr>
        <w:t>Equity</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Index</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review</w:t>
      </w:r>
      <w:proofErr w:type="spellEnd"/>
      <w:r w:rsidRPr="00CB6FD2">
        <w:rPr>
          <w:rFonts w:asciiTheme="majorHAnsi" w:hAnsiTheme="majorHAnsi" w:cstheme="majorHAnsi"/>
          <w:highlight w:val="yellow"/>
          <w:lang w:val="es-CO"/>
        </w:rPr>
        <w:t>) – Hojas: Tecnología / Consumo Básico / Inmobiliario)</w:t>
      </w:r>
    </w:p>
    <w:p w14:paraId="4957279A" w14:textId="77777777" w:rsidR="00CB6FD2" w:rsidRPr="00CB6FD2" w:rsidRDefault="00CB6FD2" w:rsidP="00CB6FD2">
      <w:pPr>
        <w:pStyle w:val="Listaconvietas"/>
        <w:numPr>
          <w:ilvl w:val="0"/>
          <w:numId w:val="0"/>
        </w:numPr>
        <w:ind w:left="1440"/>
        <w:rPr>
          <w:rFonts w:asciiTheme="majorHAnsi" w:hAnsiTheme="majorHAnsi" w:cstheme="majorHAnsi"/>
          <w:sz w:val="24"/>
          <w:szCs w:val="24"/>
          <w:lang w:val="es-CO"/>
        </w:rPr>
      </w:pPr>
    </w:p>
    <w:p w14:paraId="0F217DD3" w14:textId="77777777" w:rsidR="00CB6FD2" w:rsidRPr="00CB6FD2" w:rsidRDefault="00573A27" w:rsidP="00CB6FD2">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Calcula IC 95% con CONFIDENCE.T</w:t>
      </w:r>
      <w:r w:rsidR="006F2737" w:rsidRPr="00CB6FD2">
        <w:rPr>
          <w:rFonts w:asciiTheme="majorHAnsi" w:hAnsiTheme="majorHAnsi" w:cstheme="majorHAnsi"/>
          <w:sz w:val="24"/>
          <w:szCs w:val="24"/>
          <w:lang w:val="es-CO"/>
        </w:rPr>
        <w:t xml:space="preserve"> de los retornos ponderados de cada índice.</w:t>
      </w:r>
    </w:p>
    <w:p w14:paraId="04F340E8" w14:textId="5E7023FD" w:rsidR="00CB6FD2" w:rsidRPr="00CB6FD2" w:rsidRDefault="00CB6FD2" w:rsidP="00CB6FD2">
      <w:pPr>
        <w:pStyle w:val="Listaconvietas"/>
        <w:numPr>
          <w:ilvl w:val="0"/>
          <w:numId w:val="0"/>
        </w:numPr>
        <w:ind w:left="1440"/>
        <w:rPr>
          <w:rFonts w:asciiTheme="majorHAnsi" w:hAnsiTheme="majorHAnsi" w:cstheme="majorHAnsi"/>
          <w:sz w:val="24"/>
          <w:szCs w:val="24"/>
          <w:lang w:val="es-CO"/>
        </w:rPr>
      </w:pPr>
      <w:r w:rsidRPr="00CB6FD2">
        <w:rPr>
          <w:rFonts w:asciiTheme="majorHAnsi" w:hAnsiTheme="majorHAnsi" w:cstheme="majorHAnsi"/>
          <w:highlight w:val="yellow"/>
          <w:lang w:val="es-CO"/>
        </w:rPr>
        <w:t xml:space="preserve">(Ver Excel Datos Sectores </w:t>
      </w:r>
      <w:proofErr w:type="spellStart"/>
      <w:r w:rsidRPr="00CB6FD2">
        <w:rPr>
          <w:rFonts w:asciiTheme="majorHAnsi" w:hAnsiTheme="majorHAnsi" w:cstheme="majorHAnsi"/>
          <w:highlight w:val="yellow"/>
          <w:lang w:val="es-CO"/>
        </w:rPr>
        <w:t>Equity</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Index</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review</w:t>
      </w:r>
      <w:proofErr w:type="spellEnd"/>
      <w:r w:rsidRPr="00CB6FD2">
        <w:rPr>
          <w:rFonts w:asciiTheme="majorHAnsi" w:hAnsiTheme="majorHAnsi" w:cstheme="majorHAnsi"/>
          <w:highlight w:val="yellow"/>
          <w:lang w:val="es-CO"/>
        </w:rPr>
        <w:t>) – Hojas: Tecnología / Consumo Básico / Inmobiliario)</w:t>
      </w:r>
    </w:p>
    <w:p w14:paraId="6D66345A" w14:textId="77777777" w:rsidR="00CB6FD2" w:rsidRPr="00CB6FD2" w:rsidRDefault="00CB6FD2" w:rsidP="00CB6FD2">
      <w:pPr>
        <w:pStyle w:val="Listaconvietas"/>
        <w:numPr>
          <w:ilvl w:val="0"/>
          <w:numId w:val="0"/>
        </w:numPr>
        <w:ind w:left="1440"/>
        <w:rPr>
          <w:rFonts w:asciiTheme="majorHAnsi" w:hAnsiTheme="majorHAnsi" w:cstheme="majorHAnsi"/>
          <w:sz w:val="24"/>
          <w:szCs w:val="24"/>
          <w:lang w:val="es-CO"/>
        </w:rPr>
      </w:pPr>
    </w:p>
    <w:p w14:paraId="27C3458F" w14:textId="77777777" w:rsidR="00CB6FD2" w:rsidRPr="00CB6FD2" w:rsidRDefault="00B7058F" w:rsidP="00CB6FD2">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 xml:space="preserve">Con gráficos de barras (una por </w:t>
      </w:r>
      <w:r w:rsidR="006F2737" w:rsidRPr="00CB6FD2">
        <w:rPr>
          <w:rFonts w:asciiTheme="majorHAnsi" w:hAnsiTheme="majorHAnsi" w:cstheme="majorHAnsi"/>
          <w:sz w:val="24"/>
          <w:szCs w:val="24"/>
          <w:lang w:val="es-CO"/>
        </w:rPr>
        <w:t>índice</w:t>
      </w:r>
      <w:r w:rsidRPr="00CB6FD2">
        <w:rPr>
          <w:rFonts w:asciiTheme="majorHAnsi" w:hAnsiTheme="majorHAnsi" w:cstheme="majorHAnsi"/>
          <w:sz w:val="24"/>
          <w:szCs w:val="24"/>
          <w:lang w:val="es-CO"/>
        </w:rPr>
        <w:t>), graficar las diferencias incluyendo los intervalos de confianza.</w:t>
      </w:r>
    </w:p>
    <w:p w14:paraId="4CA50AA5" w14:textId="24994A47" w:rsidR="00CB6FD2" w:rsidRPr="00CB6FD2" w:rsidRDefault="00CB6FD2" w:rsidP="00CB6FD2">
      <w:pPr>
        <w:pStyle w:val="Listaconvietas"/>
        <w:numPr>
          <w:ilvl w:val="0"/>
          <w:numId w:val="0"/>
        </w:numPr>
        <w:ind w:left="1440"/>
        <w:rPr>
          <w:rFonts w:asciiTheme="majorHAnsi" w:hAnsiTheme="majorHAnsi" w:cstheme="majorHAnsi"/>
          <w:sz w:val="24"/>
          <w:szCs w:val="24"/>
          <w:lang w:val="es-CO"/>
        </w:rPr>
      </w:pPr>
      <w:r w:rsidRPr="00CB6FD2">
        <w:rPr>
          <w:rFonts w:asciiTheme="majorHAnsi" w:hAnsiTheme="majorHAnsi" w:cstheme="majorHAnsi"/>
          <w:highlight w:val="yellow"/>
          <w:lang w:val="es-CO"/>
        </w:rPr>
        <w:t xml:space="preserve">(Ver Excel Datos Sectores </w:t>
      </w:r>
      <w:proofErr w:type="spellStart"/>
      <w:r w:rsidRPr="00CB6FD2">
        <w:rPr>
          <w:rFonts w:asciiTheme="majorHAnsi" w:hAnsiTheme="majorHAnsi" w:cstheme="majorHAnsi"/>
          <w:highlight w:val="yellow"/>
          <w:lang w:val="es-CO"/>
        </w:rPr>
        <w:t>Equity</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Index</w:t>
      </w:r>
      <w:proofErr w:type="spellEnd"/>
      <w:r w:rsidRPr="00CB6FD2">
        <w:rPr>
          <w:rFonts w:asciiTheme="majorHAnsi" w:hAnsiTheme="majorHAnsi" w:cstheme="majorHAnsi"/>
          <w:highlight w:val="yellow"/>
          <w:lang w:val="es-CO"/>
        </w:rPr>
        <w:t xml:space="preserve"> </w:t>
      </w:r>
      <w:proofErr w:type="spellStart"/>
      <w:r w:rsidRPr="00CB6FD2">
        <w:rPr>
          <w:rFonts w:asciiTheme="majorHAnsi" w:hAnsiTheme="majorHAnsi" w:cstheme="majorHAnsi"/>
          <w:highlight w:val="yellow"/>
          <w:lang w:val="es-CO"/>
        </w:rPr>
        <w:t>review</w:t>
      </w:r>
      <w:proofErr w:type="spellEnd"/>
      <w:r w:rsidRPr="00CB6FD2">
        <w:rPr>
          <w:rFonts w:asciiTheme="majorHAnsi" w:hAnsiTheme="majorHAnsi" w:cstheme="majorHAnsi"/>
          <w:highlight w:val="yellow"/>
          <w:lang w:val="es-CO"/>
        </w:rPr>
        <w:t>) – Hoja: Gráficas)</w:t>
      </w:r>
    </w:p>
    <w:p w14:paraId="6FF95E56" w14:textId="77777777" w:rsidR="00CB6FD2" w:rsidRPr="00CB6FD2" w:rsidRDefault="00CB6FD2" w:rsidP="00CB6FD2">
      <w:pPr>
        <w:pStyle w:val="Listaconvietas"/>
        <w:numPr>
          <w:ilvl w:val="0"/>
          <w:numId w:val="0"/>
        </w:numPr>
        <w:ind w:left="1440"/>
        <w:rPr>
          <w:rFonts w:asciiTheme="majorHAnsi" w:hAnsiTheme="majorHAnsi" w:cstheme="majorHAnsi"/>
          <w:sz w:val="24"/>
          <w:szCs w:val="24"/>
          <w:lang w:val="es-CO"/>
        </w:rPr>
      </w:pPr>
    </w:p>
    <w:p w14:paraId="28AC7774" w14:textId="5A044B08" w:rsidR="00B7058F" w:rsidRPr="00CB6FD2" w:rsidRDefault="00B7058F" w:rsidP="00573A27">
      <w:pPr>
        <w:pStyle w:val="Listaconvietas"/>
        <w:numPr>
          <w:ilvl w:val="1"/>
          <w:numId w:val="11"/>
        </w:numPr>
        <w:rPr>
          <w:rFonts w:asciiTheme="majorHAnsi" w:hAnsiTheme="majorHAnsi" w:cstheme="majorHAnsi"/>
          <w:sz w:val="24"/>
          <w:szCs w:val="24"/>
          <w:lang w:val="es-CO"/>
        </w:rPr>
      </w:pPr>
      <w:r w:rsidRPr="00CB6FD2">
        <w:rPr>
          <w:rFonts w:asciiTheme="majorHAnsi" w:hAnsiTheme="majorHAnsi" w:cstheme="majorHAnsi"/>
          <w:sz w:val="24"/>
          <w:szCs w:val="24"/>
          <w:lang w:val="es-CO"/>
        </w:rPr>
        <w:t>Interpretar: ¿hay evidencia de un cambio notable antes y después del COVID?, ¿por qué?</w:t>
      </w:r>
    </w:p>
    <w:p w14:paraId="68ACA972" w14:textId="77777777" w:rsidR="00CB6FD2" w:rsidRPr="00CB6FD2" w:rsidRDefault="00CB6FD2" w:rsidP="00CB6FD2">
      <w:pPr>
        <w:pStyle w:val="font-claude-response-body"/>
        <w:rPr>
          <w:rFonts w:asciiTheme="majorHAnsi" w:hAnsiTheme="majorHAnsi" w:cstheme="majorHAnsi"/>
        </w:rPr>
      </w:pPr>
      <w:r w:rsidRPr="00CB6FD2">
        <w:rPr>
          <w:rFonts w:asciiTheme="majorHAnsi" w:hAnsiTheme="majorHAnsi" w:cstheme="majorHAnsi"/>
        </w:rPr>
        <w:t>En el sector de tecnología se observa el cambio más notable: la desviación estándar pasó de 0,01453 en 2015 a 0,01959 en 2025, lo que representa un incremento de aproximadamente el 35%. Adicionalmente, los intervalos de confianza de ambos años no se solapan, lo cual indica que esta diferencia es estadísticamente significativa. Esto sugiere que el mercado tecnológico se volvió considerablemente más volátil, fenómeno que puede explicarse por el fuerte crecimiento del sector impulsado por la inteligencia artificial, la digitalización acelerada por la pandemia y los ciclos de auge y corrección propios de este tipo de activos.</w:t>
      </w:r>
    </w:p>
    <w:p w14:paraId="42ED5E72" w14:textId="13BFFE89" w:rsidR="00CB6FD2" w:rsidRPr="00CB6FD2" w:rsidRDefault="00CB6FD2" w:rsidP="00CB6FD2">
      <w:pPr>
        <w:pStyle w:val="font-claude-response-body"/>
        <w:rPr>
          <w:rFonts w:asciiTheme="majorHAnsi" w:hAnsiTheme="majorHAnsi" w:cstheme="majorHAnsi"/>
        </w:rPr>
      </w:pPr>
      <w:r w:rsidRPr="00CB6FD2">
        <w:rPr>
          <w:rFonts w:asciiTheme="majorHAnsi" w:hAnsiTheme="majorHAnsi" w:cstheme="majorHAnsi"/>
        </w:rPr>
        <w:t>En el sector de consumo básico, la variación es mínima: la desviación estándar pasó de 0,00886 a 0,00911, un cambio de apenas el 2,8%. Los intervalos de confianza de ambos años se solapan ampliamente, lo que indica que no hay evidencia estadística de un cambio significativo en la volatilidad. Este comportamiento es consistente con la naturaleza defensiva del sector, cuyos productos</w:t>
      </w:r>
      <w:r w:rsidRPr="00CB6FD2">
        <w:rPr>
          <w:rFonts w:asciiTheme="majorHAnsi" w:hAnsiTheme="majorHAnsi" w:cstheme="majorHAnsi"/>
        </w:rPr>
        <w:t xml:space="preserve"> como </w:t>
      </w:r>
      <w:r w:rsidRPr="00CB6FD2">
        <w:rPr>
          <w:rFonts w:asciiTheme="majorHAnsi" w:hAnsiTheme="majorHAnsi" w:cstheme="majorHAnsi"/>
        </w:rPr>
        <w:t>alimentos, bebidas y artículos de higiene</w:t>
      </w:r>
      <w:r w:rsidRPr="00CB6FD2">
        <w:rPr>
          <w:rFonts w:asciiTheme="majorHAnsi" w:hAnsiTheme="majorHAnsi" w:cstheme="majorHAnsi"/>
        </w:rPr>
        <w:t xml:space="preserve"> </w:t>
      </w:r>
      <w:r w:rsidRPr="00CB6FD2">
        <w:rPr>
          <w:rFonts w:asciiTheme="majorHAnsi" w:hAnsiTheme="majorHAnsi" w:cstheme="majorHAnsi"/>
        </w:rPr>
        <w:t>mantienen una demanda estable independientemente del ciclo económico.</w:t>
      </w:r>
    </w:p>
    <w:p w14:paraId="274D01B3" w14:textId="0F76199C" w:rsidR="00CB6FD2" w:rsidRPr="00CB6FD2" w:rsidRDefault="00CB6FD2" w:rsidP="00CB6FD2">
      <w:pPr>
        <w:pStyle w:val="font-claude-response-body"/>
        <w:rPr>
          <w:rFonts w:asciiTheme="majorHAnsi" w:hAnsiTheme="majorHAnsi" w:cstheme="majorHAnsi"/>
        </w:rPr>
      </w:pPr>
      <w:r w:rsidRPr="00CB6FD2">
        <w:rPr>
          <w:rFonts w:asciiTheme="majorHAnsi" w:hAnsiTheme="majorHAnsi" w:cstheme="majorHAnsi"/>
        </w:rPr>
        <w:t>En el sector inmobiliario, la desviación estándar disminuyó levemente de 0,01107 en 2015 a 0,01082 en 2025, una reducción de apenas el 2,3%. Al igual que en consumo básico, los intervalos de confianza se solapan, por lo que no se puede concluir que el cambio sea estadísticamente significativo. Sin embargo, este resultado es interesante dado el contexto</w:t>
      </w:r>
      <w:r w:rsidRPr="00CB6FD2">
        <w:rPr>
          <w:rFonts w:asciiTheme="majorHAnsi" w:hAnsiTheme="majorHAnsi" w:cstheme="majorHAnsi"/>
        </w:rPr>
        <w:t xml:space="preserve"> ya que </w:t>
      </w:r>
      <w:r w:rsidRPr="00CB6FD2">
        <w:rPr>
          <w:rFonts w:asciiTheme="majorHAnsi" w:hAnsiTheme="majorHAnsi" w:cstheme="majorHAnsi"/>
        </w:rPr>
        <w:t>el sector inmobiliario enfrentó presiones importantes en 2022 debido a las subidas de tasas de interés por parte de la Reserva Federal, lo que generó alta volatilidad en ese período intermedio que no necesariamente se refleja al comparar solo los años extremos.</w:t>
      </w:r>
    </w:p>
    <w:p w14:paraId="5046F20A" w14:textId="4992232C" w:rsidR="00CB6FD2" w:rsidRPr="00CB6FD2" w:rsidRDefault="00CB6FD2" w:rsidP="00CB6FD2">
      <w:pPr>
        <w:pStyle w:val="font-claude-response-body"/>
        <w:rPr>
          <w:rFonts w:asciiTheme="majorHAnsi" w:hAnsiTheme="majorHAnsi" w:cstheme="majorHAnsi"/>
        </w:rPr>
      </w:pPr>
      <w:r w:rsidRPr="00CB6FD2">
        <w:rPr>
          <w:rFonts w:asciiTheme="majorHAnsi" w:hAnsiTheme="majorHAnsi" w:cstheme="majorHAnsi"/>
        </w:rPr>
        <w:t>En conclusión, el único sector que muestra evidencia clara de un cambio en la volatilidad entre 2015 y 2025 es el de tecnología. Los sectores de consumo básico e inmobiliario mantuvieron niveles de riesgo similares en ambos períodos, aunque por razones distintas</w:t>
      </w:r>
      <w:r w:rsidRPr="00CB6FD2">
        <w:rPr>
          <w:rFonts w:asciiTheme="majorHAnsi" w:hAnsiTheme="majorHAnsi" w:cstheme="majorHAnsi"/>
        </w:rPr>
        <w:t xml:space="preserve"> ya que, </w:t>
      </w:r>
      <w:r w:rsidRPr="00CB6FD2">
        <w:rPr>
          <w:rFonts w:asciiTheme="majorHAnsi" w:hAnsiTheme="majorHAnsi" w:cstheme="majorHAnsi"/>
        </w:rPr>
        <w:t>el primero por su estabilidad estructural, y el segundo a pesar de haber atravesado turbulencias significativas en el período intermedio.</w:t>
      </w:r>
    </w:p>
    <w:p w14:paraId="673012F0" w14:textId="77777777" w:rsidR="00573A27" w:rsidRPr="00CB6FD2" w:rsidRDefault="00573A27" w:rsidP="00573A27">
      <w:pPr>
        <w:pStyle w:val="Listaconvietas"/>
        <w:numPr>
          <w:ilvl w:val="0"/>
          <w:numId w:val="0"/>
        </w:numPr>
        <w:ind w:left="360" w:hanging="360"/>
        <w:rPr>
          <w:rFonts w:asciiTheme="majorHAnsi" w:hAnsiTheme="majorHAnsi" w:cstheme="majorHAnsi"/>
          <w:sz w:val="24"/>
          <w:szCs w:val="24"/>
          <w:lang w:val="es-CO"/>
        </w:rPr>
      </w:pPr>
    </w:p>
    <w:sectPr w:rsidR="00573A27" w:rsidRPr="00CB6F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A029BD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DA386F"/>
    <w:multiLevelType w:val="hybridMultilevel"/>
    <w:tmpl w:val="26BEB9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0A5684"/>
    <w:multiLevelType w:val="hybridMultilevel"/>
    <w:tmpl w:val="9660697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99F0A06"/>
    <w:multiLevelType w:val="hybridMultilevel"/>
    <w:tmpl w:val="7E388A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C8B37A4"/>
    <w:multiLevelType w:val="hybridMultilevel"/>
    <w:tmpl w:val="5874F1E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3990643">
    <w:abstractNumId w:val="8"/>
  </w:num>
  <w:num w:numId="2" w16cid:durableId="2129932522">
    <w:abstractNumId w:val="6"/>
  </w:num>
  <w:num w:numId="3" w16cid:durableId="535461504">
    <w:abstractNumId w:val="5"/>
  </w:num>
  <w:num w:numId="4" w16cid:durableId="1419712707">
    <w:abstractNumId w:val="4"/>
  </w:num>
  <w:num w:numId="5" w16cid:durableId="1007638029">
    <w:abstractNumId w:val="7"/>
  </w:num>
  <w:num w:numId="6" w16cid:durableId="1937202424">
    <w:abstractNumId w:val="3"/>
  </w:num>
  <w:num w:numId="7" w16cid:durableId="864513968">
    <w:abstractNumId w:val="2"/>
  </w:num>
  <w:num w:numId="8" w16cid:durableId="1895316183">
    <w:abstractNumId w:val="1"/>
  </w:num>
  <w:num w:numId="9" w16cid:durableId="1249387299">
    <w:abstractNumId w:val="0"/>
  </w:num>
  <w:num w:numId="10" w16cid:durableId="1834909065">
    <w:abstractNumId w:val="11"/>
  </w:num>
  <w:num w:numId="11" w16cid:durableId="782312507">
    <w:abstractNumId w:val="10"/>
  </w:num>
  <w:num w:numId="12" w16cid:durableId="701173099">
    <w:abstractNumId w:val="9"/>
  </w:num>
  <w:num w:numId="13" w16cid:durableId="337466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2E"/>
    <w:rsid w:val="00005582"/>
    <w:rsid w:val="00034616"/>
    <w:rsid w:val="0006063C"/>
    <w:rsid w:val="00122C84"/>
    <w:rsid w:val="0015074B"/>
    <w:rsid w:val="001B7656"/>
    <w:rsid w:val="001D23D8"/>
    <w:rsid w:val="0029639D"/>
    <w:rsid w:val="002F072D"/>
    <w:rsid w:val="00326F90"/>
    <w:rsid w:val="00416B3A"/>
    <w:rsid w:val="005709EB"/>
    <w:rsid w:val="00573A27"/>
    <w:rsid w:val="005973D0"/>
    <w:rsid w:val="00624266"/>
    <w:rsid w:val="006F2737"/>
    <w:rsid w:val="0070377A"/>
    <w:rsid w:val="007A71B2"/>
    <w:rsid w:val="007F778F"/>
    <w:rsid w:val="00872ED1"/>
    <w:rsid w:val="008868CF"/>
    <w:rsid w:val="008E0F23"/>
    <w:rsid w:val="009118C5"/>
    <w:rsid w:val="009271AA"/>
    <w:rsid w:val="00980307"/>
    <w:rsid w:val="00A053A8"/>
    <w:rsid w:val="00A43EF5"/>
    <w:rsid w:val="00AA1D8D"/>
    <w:rsid w:val="00B10161"/>
    <w:rsid w:val="00B47730"/>
    <w:rsid w:val="00B7058F"/>
    <w:rsid w:val="00C458B9"/>
    <w:rsid w:val="00CA30C7"/>
    <w:rsid w:val="00CB0664"/>
    <w:rsid w:val="00CB6FD2"/>
    <w:rsid w:val="00D435C9"/>
    <w:rsid w:val="00D655AD"/>
    <w:rsid w:val="00DD16AE"/>
    <w:rsid w:val="00E312AC"/>
    <w:rsid w:val="00E479D7"/>
    <w:rsid w:val="00E7378E"/>
    <w:rsid w:val="00EE57E2"/>
    <w:rsid w:val="00EF1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98EB87"/>
  <w14:defaultImageDpi w14:val="300"/>
  <w15:docId w15:val="{5EBC8C13-E632-497D-A5A5-C51199F6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5709EB"/>
    <w:rPr>
      <w:rFonts w:ascii="Courier New" w:eastAsia="Times New Roman" w:hAnsi="Courier New" w:cs="Courier New"/>
      <w:sz w:val="20"/>
      <w:szCs w:val="20"/>
    </w:rPr>
  </w:style>
  <w:style w:type="character" w:styleId="Hipervnculo">
    <w:name w:val="Hyperlink"/>
    <w:basedOn w:val="Fuentedeprrafopredeter"/>
    <w:uiPriority w:val="99"/>
    <w:unhideWhenUsed/>
    <w:rsid w:val="005709EB"/>
    <w:rPr>
      <w:color w:val="0000FF" w:themeColor="hyperlink"/>
      <w:u w:val="single"/>
    </w:rPr>
  </w:style>
  <w:style w:type="character" w:styleId="Mencinsinresolver">
    <w:name w:val="Unresolved Mention"/>
    <w:basedOn w:val="Fuentedeprrafopredeter"/>
    <w:uiPriority w:val="99"/>
    <w:semiHidden/>
    <w:unhideWhenUsed/>
    <w:rsid w:val="005709EB"/>
    <w:rPr>
      <w:color w:val="605E5C"/>
      <w:shd w:val="clear" w:color="auto" w:fill="E1DFDD"/>
    </w:rPr>
  </w:style>
  <w:style w:type="paragraph" w:customStyle="1" w:styleId="font-claude-response-body">
    <w:name w:val="font-claude-response-body"/>
    <w:basedOn w:val="Normal"/>
    <w:rsid w:val="00CB6FD2"/>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301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oks.core-econ.org/doing-economics/book/text/10-02.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1495</Words>
  <Characters>8225</Characters>
  <Application>Microsoft Office Word</Application>
  <DocSecurity>0</DocSecurity>
  <Lines>68</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9701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Alejandra Gil Tellez</cp:lastModifiedBy>
  <cp:revision>7</cp:revision>
  <dcterms:created xsi:type="dcterms:W3CDTF">2026-03-31T04:14:00Z</dcterms:created>
  <dcterms:modified xsi:type="dcterms:W3CDTF">2026-03-31T17:37:00Z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95212ca4-ebc8-4988-ae4a-714e36c9a570</vt:lpwstr>
  </property>
</Properties>
</file>