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-959641557"/>
        <w:docPartObj>
          <w:docPartGallery w:val="Cover Pages"/>
          <w:docPartUnique/>
        </w:docPartObj>
      </w:sdtPr>
      <w:sdtEndPr/>
      <w:sdtContent>
        <w:p w:rsidR="00E338C8" w:rsidRPr="00E338C8" w:rsidRDefault="00E338C8" w:rsidP="00E338C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338C8" w:rsidRDefault="00E338C8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338C8" w:rsidRDefault="00E338C8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8C8" w:rsidRPr="00E338C8" w:rsidRDefault="00E338C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Лабораторная работа №4</w:t>
                                </w:r>
                              </w:p>
                              <w:p w:rsidR="00E338C8" w:rsidRPr="00E338C8" w:rsidRDefault="00F667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1A1A1A"/>
                                      <w:sz w:val="27"/>
                                      <w:szCs w:val="23"/>
                                      <w:shd w:val="clear" w:color="auto" w:fill="FFFFFF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8C8" w:rsidRPr="00E338C8">
                                      <w:rPr>
                                        <w:rFonts w:ascii="Helvetica" w:hAnsi="Helvetica"/>
                                        <w:color w:val="1A1A1A"/>
                                        <w:sz w:val="27"/>
                                        <w:szCs w:val="23"/>
                                        <w:shd w:val="clear" w:color="auto" w:fill="FFFFFF"/>
                                      </w:rPr>
                                      <w:t>Выделение пользователей системного интерфейса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E338C8" w:rsidRPr="00E338C8" w:rsidRDefault="00E338C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Лабораторная работа №4</w:t>
                          </w:r>
                        </w:p>
                        <w:p w:rsidR="00E338C8" w:rsidRPr="00E338C8" w:rsidRDefault="00F6670B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1A1A1A"/>
                                <w:sz w:val="27"/>
                                <w:szCs w:val="23"/>
                                <w:shd w:val="clear" w:color="auto" w:fill="FFFFFF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338C8" w:rsidRPr="00E338C8">
                                <w:rPr>
                                  <w:rFonts w:ascii="Helvetica" w:hAnsi="Helvetica"/>
                                  <w:color w:val="1A1A1A"/>
                                  <w:sz w:val="27"/>
                                  <w:szCs w:val="23"/>
                                  <w:shd w:val="clear" w:color="auto" w:fill="FFFFFF"/>
                                </w:rPr>
                                <w:t>Выделение пользователей системного интерфейса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338C8" w:rsidRDefault="00E338C8" w:rsidP="00E338C8"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B31AA6" wp14:editId="50125474">
                    <wp:simplePos x="0" y="0"/>
                    <wp:positionH relativeFrom="page">
                      <wp:posOffset>2633345</wp:posOffset>
                    </wp:positionH>
                    <wp:positionV relativeFrom="page">
                      <wp:posOffset>7072836</wp:posOffset>
                    </wp:positionV>
                    <wp:extent cx="4803618" cy="3348841"/>
                    <wp:effectExtent l="0" t="0" r="0" b="444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3618" cy="33488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8C8" w:rsidRPr="00A75284" w:rsidRDefault="00E338C8" w:rsidP="00E338C8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Подготовил студент группы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IA</w:t>
                                </w:r>
                                <w:r w:rsidRPr="00A75284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2303:</w:t>
                                </w:r>
                              </w:p>
                              <w:p w:rsidR="00E338C8" w:rsidRPr="00A75284" w:rsidRDefault="00E338C8" w:rsidP="00E338C8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A75284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</w:p>
                              <w:p w:rsidR="00E338C8" w:rsidRDefault="00E338C8" w:rsidP="00E338C8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Проверил преподаватель: </w:t>
                                </w:r>
                              </w:p>
                              <w:p w:rsidR="00E338C8" w:rsidRPr="001204CC" w:rsidRDefault="00E338C8" w:rsidP="00E338C8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:rsidR="00E338C8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38C8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38C8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38C8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38C8" w:rsidRPr="00A75284" w:rsidRDefault="00E338C8" w:rsidP="00E338C8">
                                <w:pPr>
                                  <w:pStyle w:val="a3"/>
                                  <w:jc w:val="both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E338C8" w:rsidRPr="00A75284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E338C8" w:rsidRPr="00A75284" w:rsidRDefault="00F6670B" w:rsidP="00E338C8">
                                <w:pPr>
                                  <w:pStyle w:val="a3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Организация"/>
                                    <w:tag w:val=""/>
                                    <w:id w:val="-2565981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alias w:val="Организация"/>
                                        <w:tag w:val=""/>
                                        <w:id w:val="-1226600727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E338C8">
                                          <w:rPr>
                                            <w:caps/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PROIECTAREA SISTEMELOR INFORMACE, USM, 2025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B31AA6" id="Надпись 11" o:spid="_x0000_s1056" type="#_x0000_t202" style="position:absolute;margin-left:207.35pt;margin-top:556.9pt;width:378.25pt;height:263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" filled="f" stroked="f" strokeweight=".5pt">
                    <v:textbox inset="0,0,0,0">
                      <w:txbxContent>
                        <w:p w:rsidR="00E338C8" w:rsidRPr="00A75284" w:rsidRDefault="00E338C8" w:rsidP="00E338C8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Подготовил студент группы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IA</w:t>
                          </w:r>
                          <w:r w:rsidRPr="00A75284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2303:</w:t>
                          </w:r>
                        </w:p>
                        <w:p w:rsidR="00E338C8" w:rsidRPr="00A75284" w:rsidRDefault="00E338C8" w:rsidP="00E338C8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A75284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</w:p>
                        <w:p w:rsidR="00E338C8" w:rsidRDefault="00E338C8" w:rsidP="00E338C8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Проверил преподаватель: </w:t>
                          </w:r>
                        </w:p>
                        <w:p w:rsidR="00E338C8" w:rsidRPr="001204CC" w:rsidRDefault="00E338C8" w:rsidP="00E338C8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:rsidR="00E338C8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E338C8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E338C8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E338C8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E338C8" w:rsidRPr="00A75284" w:rsidRDefault="00E338C8" w:rsidP="00E338C8">
                          <w:pPr>
                            <w:pStyle w:val="a3"/>
                            <w:jc w:val="both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338C8" w:rsidRPr="00A75284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338C8" w:rsidRPr="00A75284" w:rsidRDefault="00F6670B" w:rsidP="00E338C8">
                          <w:pPr>
                            <w:pStyle w:val="a3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Организация"/>
                              <w:tag w:val=""/>
                              <w:id w:val="-2565981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Организация"/>
                                  <w:tag w:val=""/>
                                  <w:id w:val="-122660072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E338C8"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>PROIECTAREA SISTEMELOR INFORMACE, USM, 2025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3413141</wp:posOffset>
                    </wp:positionH>
                    <wp:positionV relativeFrom="page">
                      <wp:posOffset>7306920</wp:posOffset>
                    </wp:positionV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8C8" w:rsidRDefault="00E338C8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2" o:spid="_x0000_s1057" type="#_x0000_t202" style="position:absolute;margin-left:268.75pt;margin-top:575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Bw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jgpD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" filled="f" stroked="f" strokeweight=".5pt">
                    <v:textbox style="mso-fit-shape-to-text:t" inset="0,0,0,0">
                      <w:txbxContent>
                        <w:p w:rsidR="00E338C8" w:rsidRDefault="00E338C8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  <w:r>
            <w:lastRenderedPageBreak/>
            <w:tab/>
          </w:r>
          <w:r w:rsidRPr="00E338C8">
            <w:t>`</w:t>
          </w:r>
        </w:p>
      </w:sdtContent>
    </w:sdt>
    <w:p w:rsidR="00E338C8" w:rsidRDefault="00E338C8" w:rsidP="00E338C8">
      <w:pPr>
        <w:shd w:val="clear" w:color="auto" w:fill="FFFFFF"/>
        <w:rPr>
          <w:rFonts w:asciiTheme="minorHAnsi" w:hAnsiTheme="minorHAnsi"/>
          <w:color w:val="1A1A1A"/>
          <w:sz w:val="23"/>
          <w:szCs w:val="23"/>
        </w:rPr>
      </w:pPr>
      <w:r w:rsidRPr="00E338C8">
        <w:rPr>
          <w:b/>
          <w:sz w:val="32"/>
        </w:rPr>
        <w:t>Тема работы</w:t>
      </w:r>
      <w:r>
        <w:t xml:space="preserve">: </w:t>
      </w:r>
      <w:r>
        <w:rPr>
          <w:rFonts w:ascii="Helvetica" w:hAnsi="Helvetica"/>
          <w:color w:val="1A1A1A"/>
          <w:sz w:val="23"/>
          <w:szCs w:val="23"/>
        </w:rPr>
        <w:t>Выделение пользователей системного интерфейса и предлагаемых им</w:t>
      </w:r>
      <w:r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функциональных возможностей</w:t>
      </w:r>
    </w:p>
    <w:p w:rsidR="00E338C8" w:rsidRDefault="00E338C8" w:rsidP="00E338C8">
      <w:pPr>
        <w:shd w:val="clear" w:color="auto" w:fill="FFFFFF"/>
        <w:rPr>
          <w:rFonts w:asciiTheme="minorHAnsi" w:hAnsiTheme="minorHAnsi"/>
          <w:color w:val="1A1A1A"/>
          <w:sz w:val="23"/>
          <w:szCs w:val="23"/>
        </w:rPr>
      </w:pPr>
    </w:p>
    <w:p w:rsidR="00E338C8" w:rsidRPr="00E338C8" w:rsidRDefault="00E338C8" w:rsidP="00E338C8">
      <w:pPr>
        <w:shd w:val="clear" w:color="auto" w:fill="FFFFFF"/>
        <w:rPr>
          <w:rFonts w:asciiTheme="minorHAnsi" w:hAnsiTheme="minorHAnsi"/>
          <w:color w:val="1A1A1A"/>
          <w:sz w:val="23"/>
          <w:szCs w:val="23"/>
        </w:rPr>
      </w:pPr>
    </w:p>
    <w:tbl>
      <w:tblPr>
        <w:tblStyle w:val="a5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3402"/>
        <w:gridCol w:w="3260"/>
      </w:tblGrid>
      <w:tr w:rsidR="00B41FCA" w:rsidTr="002F046A">
        <w:trPr>
          <w:trHeight w:val="647"/>
        </w:trPr>
        <w:tc>
          <w:tcPr>
            <w:tcW w:w="1560" w:type="dxa"/>
          </w:tcPr>
          <w:p w:rsidR="00B41FCA" w:rsidRPr="00E61CD3" w:rsidRDefault="00B41FCA" w:rsidP="00B41FCA">
            <w:pPr>
              <w:rPr>
                <w:vanish/>
              </w:rPr>
            </w:pPr>
            <w:r>
              <w:t>Роль</w:t>
            </w:r>
          </w:p>
        </w:tc>
        <w:tc>
          <w:tcPr>
            <w:tcW w:w="2835" w:type="dxa"/>
          </w:tcPr>
          <w:p w:rsidR="00B41FCA" w:rsidRPr="00E61CD3" w:rsidRDefault="00B41FCA" w:rsidP="00B41FCA">
            <w:pPr>
              <w:rPr>
                <w:vanish/>
              </w:rPr>
            </w:pPr>
            <w:r>
              <w:t xml:space="preserve">Доступные функции </w:t>
            </w:r>
          </w:p>
        </w:tc>
        <w:tc>
          <w:tcPr>
            <w:tcW w:w="3402" w:type="dxa"/>
          </w:tcPr>
          <w:p w:rsidR="00B41FCA" w:rsidRPr="00E61CD3" w:rsidRDefault="00B41FCA" w:rsidP="00FC06FD">
            <w:pPr>
              <w:rPr>
                <w:vanish/>
              </w:rPr>
            </w:pPr>
            <w:r>
              <w:t>Функциональные требования</w:t>
            </w:r>
            <w:r w:rsidR="00FC06FD">
              <w:t xml:space="preserve"> АИС (возможности, которые  она должна предоставлять каждой роли)</w:t>
            </w:r>
          </w:p>
        </w:tc>
        <w:tc>
          <w:tcPr>
            <w:tcW w:w="3260" w:type="dxa"/>
          </w:tcPr>
          <w:p w:rsidR="00B41FCA" w:rsidRPr="00E61CD3" w:rsidRDefault="00B41FCA" w:rsidP="00B41FCA">
            <w:pPr>
              <w:rPr>
                <w:vanish/>
              </w:rPr>
            </w:pPr>
            <w:r>
              <w:t>Нефункциональные требования</w:t>
            </w:r>
            <w:r w:rsidR="00FC06FD">
              <w:t xml:space="preserve"> АИС</w:t>
            </w:r>
          </w:p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Клиент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Просмотр страховых программ </w:t>
            </w:r>
            <w:r>
              <w:br/>
              <w:t xml:space="preserve">- Расчет стоимости полиса </w:t>
            </w:r>
            <w:r>
              <w:br/>
              <w:t xml:space="preserve">- Оформление заявки </w:t>
            </w:r>
            <w:r>
              <w:br/>
              <w:t xml:space="preserve">- Оплата полиса </w:t>
            </w:r>
            <w:r>
              <w:br/>
              <w:t xml:space="preserve">- Просмотр статуса </w:t>
            </w:r>
            <w:r>
              <w:br/>
              <w:t>- Подача заявления на страховой случай</w:t>
            </w:r>
          </w:p>
        </w:tc>
        <w:tc>
          <w:tcPr>
            <w:tcW w:w="3402" w:type="dxa"/>
          </w:tcPr>
          <w:p w:rsidR="00FC06FD" w:rsidRDefault="00FC06FD">
            <w:r>
              <w:t xml:space="preserve">- Регистрация/вход в личный кабинет </w:t>
            </w:r>
            <w:r>
              <w:br/>
              <w:t xml:space="preserve">- Доступ к истории полисов и заявок </w:t>
            </w:r>
            <w:r>
              <w:br/>
              <w:t xml:space="preserve">- Онлайн-калькулятор страховых премий </w:t>
            </w:r>
            <w:r>
              <w:br/>
              <w:t>- Отправка уведомлений о сроке продления полиса</w:t>
            </w:r>
          </w:p>
        </w:tc>
        <w:tc>
          <w:tcPr>
            <w:tcW w:w="3260" w:type="dxa"/>
            <w:vMerge w:val="restart"/>
          </w:tcPr>
          <w:p w:rsidR="00FC06FD" w:rsidRDefault="00FC06FD">
            <w:r>
              <w:t xml:space="preserve">- Доступность системы 24/7 </w:t>
            </w:r>
          </w:p>
          <w:p w:rsidR="00FC06FD" w:rsidRDefault="00FC06FD">
            <w:r>
              <w:br/>
              <w:t xml:space="preserve">- Защита персональных данных (шифрование, авторизация) </w:t>
            </w:r>
          </w:p>
          <w:p w:rsidR="00FC06FD" w:rsidRDefault="00FC06FD">
            <w:r>
              <w:br/>
              <w:t>- Простой и понятный интерфейс</w:t>
            </w:r>
          </w:p>
          <w:p w:rsidR="00FC06FD" w:rsidRDefault="00FC06FD"/>
          <w:p w:rsidR="00FC06FD" w:rsidRDefault="00FC06FD">
            <w:r>
              <w:t xml:space="preserve">- Интерфейс с фильтрами и сортировкой данных </w:t>
            </w:r>
          </w:p>
          <w:p w:rsidR="00FC06FD" w:rsidRDefault="00FC06FD">
            <w:r>
              <w:br/>
              <w:t xml:space="preserve">- Время загрузки страниц не более 2 секунд </w:t>
            </w:r>
          </w:p>
          <w:p w:rsidR="00FC06FD" w:rsidRDefault="00FC06FD">
            <w:r>
              <w:br/>
              <w:t>- Ограниченный доступ к данным клиентов (только своего отдела)</w:t>
            </w:r>
          </w:p>
          <w:p w:rsidR="00FC06FD" w:rsidRDefault="00FC06FD"/>
          <w:p w:rsidR="00FC06FD" w:rsidRDefault="00FC06FD">
            <w:r>
              <w:t xml:space="preserve">- Надежность расчетов (погрешность не более 0,1%) </w:t>
            </w:r>
          </w:p>
          <w:p w:rsidR="00FC06FD" w:rsidRDefault="00FC06FD">
            <w:r>
              <w:br/>
              <w:t xml:space="preserve">- </w:t>
            </w:r>
            <w:proofErr w:type="spellStart"/>
            <w:r>
              <w:t>Журналирование</w:t>
            </w:r>
            <w:proofErr w:type="spellEnd"/>
            <w:r>
              <w:t xml:space="preserve"> всех операций</w:t>
            </w:r>
          </w:p>
          <w:p w:rsidR="00FC06FD" w:rsidRDefault="00FC06FD"/>
          <w:p w:rsidR="00FC06FD" w:rsidRDefault="00FC06FD">
            <w:r>
              <w:t xml:space="preserve">- Уровень доступа зависит от должности </w:t>
            </w:r>
          </w:p>
          <w:p w:rsidR="00FC06FD" w:rsidRDefault="00FC06FD">
            <w:r>
              <w:br/>
              <w:t>- Минимизация ручного ввода данных</w:t>
            </w:r>
          </w:p>
          <w:p w:rsidR="00FC06FD" w:rsidRDefault="00FC06FD"/>
          <w:p w:rsidR="00FC06FD" w:rsidRDefault="00FC06FD">
            <w:r>
              <w:t xml:space="preserve">- Высокая отказоустойчивость системы </w:t>
            </w:r>
          </w:p>
          <w:p w:rsidR="00FC06FD" w:rsidRDefault="00FC06FD">
            <w:r>
              <w:br/>
              <w:t xml:space="preserve">- Время ответа системы </w:t>
            </w:r>
            <w:proofErr w:type="gramStart"/>
            <w:r>
              <w:t>&lt; 3</w:t>
            </w:r>
            <w:proofErr w:type="gramEnd"/>
            <w:r>
              <w:t xml:space="preserve"> сек</w:t>
            </w:r>
          </w:p>
          <w:p w:rsidR="00FC06FD" w:rsidRDefault="00FC06FD"/>
          <w:p w:rsidR="00FC06FD" w:rsidRDefault="00FC06FD">
            <w:r>
              <w:t>- Документы должны храниться не менее 5 лет</w:t>
            </w:r>
          </w:p>
          <w:p w:rsidR="00FC06FD" w:rsidRDefault="00FC06FD"/>
          <w:p w:rsidR="00FC06FD" w:rsidRDefault="00FC06FD">
            <w:r>
              <w:t>- Поддержка отказоустойчивости</w:t>
            </w:r>
          </w:p>
          <w:p w:rsidR="00FC06FD" w:rsidRDefault="00FC06FD">
            <w:r>
              <w:lastRenderedPageBreak/>
              <w:t xml:space="preserve"> </w:t>
            </w:r>
            <w:r>
              <w:br/>
              <w:t>- Автоматическое резервное копирование</w:t>
            </w:r>
          </w:p>
          <w:p w:rsidR="00FC06FD" w:rsidRDefault="00FC06FD"/>
          <w:p w:rsidR="00FC06FD" w:rsidRDefault="00FC06FD">
            <w:r>
              <w:t xml:space="preserve">- Соответствие законодательству </w:t>
            </w:r>
          </w:p>
          <w:p w:rsidR="00FC06FD" w:rsidRDefault="00FC06FD">
            <w:r>
              <w:br/>
              <w:t xml:space="preserve">- Архивирование данных не менее 5 лет </w:t>
            </w:r>
          </w:p>
          <w:p w:rsidR="00FC06FD" w:rsidRDefault="00FC06FD">
            <w:r>
              <w:br/>
              <w:t>- Доступ только по ролям</w:t>
            </w:r>
          </w:p>
          <w:p w:rsidR="00FC06FD" w:rsidRDefault="00FC06FD"/>
          <w:p w:rsidR="00FC06FD" w:rsidRDefault="00FC06FD" w:rsidP="006E6766">
            <w:r>
              <w:t>- Доступ к аналитике только через VPN</w:t>
            </w:r>
          </w:p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Менеджер по продажам</w:t>
            </w:r>
          </w:p>
        </w:tc>
        <w:tc>
          <w:tcPr>
            <w:tcW w:w="2835" w:type="dxa"/>
          </w:tcPr>
          <w:p w:rsidR="00FC06FD" w:rsidRDefault="00FC06FD">
            <w:r>
              <w:t xml:space="preserve">- Регистрация новых клиентов </w:t>
            </w:r>
            <w:r>
              <w:br/>
              <w:t xml:space="preserve">- Оформление страховых полисов </w:t>
            </w:r>
            <w:r>
              <w:br/>
              <w:t xml:space="preserve">- Корректировка данных клиентов </w:t>
            </w:r>
            <w:r>
              <w:br/>
              <w:t xml:space="preserve">- Напоминания о продлении полисов </w:t>
            </w:r>
            <w:r>
              <w:br/>
              <w:t>- Генерация отчетов по продажам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Поиск клиентов по ФИО, номеру полиса </w:t>
            </w:r>
            <w:r>
              <w:br/>
              <w:t xml:space="preserve">- Внесение изменений в клиентские данные </w:t>
            </w:r>
            <w:r>
              <w:br/>
              <w:t xml:space="preserve">- Создание договоров страхования </w:t>
            </w:r>
            <w:r>
              <w:br/>
              <w:t>- Экспорт отчетов в PDF/</w:t>
            </w:r>
            <w:proofErr w:type="spellStart"/>
            <w:r>
              <w:t>Excel</w:t>
            </w:r>
            <w:proofErr w:type="spellEnd"/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Финансовый отдел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Проверка и обработка платежей </w:t>
            </w:r>
            <w:r>
              <w:br/>
              <w:t xml:space="preserve">- Расчет страховых выплат </w:t>
            </w:r>
            <w:r>
              <w:br/>
              <w:t xml:space="preserve">- Ведение финансовой отчетности </w:t>
            </w:r>
            <w:r>
              <w:br/>
              <w:t>- Контроль задолженностей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Просмотр и редактирование платежей </w:t>
            </w:r>
            <w:r>
              <w:br/>
              <w:t xml:space="preserve">- Автоматический расчет сумм выплат </w:t>
            </w:r>
            <w:r>
              <w:br/>
              <w:t>- Ведение журнала транзакций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Андеррайтер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Оценка рисков </w:t>
            </w:r>
            <w:r>
              <w:br/>
              <w:t xml:space="preserve">- Определение тарифов </w:t>
            </w:r>
            <w:r>
              <w:br/>
              <w:t>- Анализ истории клиентов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Автоматизированный расчет рисков </w:t>
            </w:r>
            <w:r>
              <w:br/>
              <w:t>- Доступ к базе данных клиентов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Специалист по урегулированию убытков</w:t>
            </w:r>
          </w:p>
        </w:tc>
        <w:tc>
          <w:tcPr>
            <w:tcW w:w="2835" w:type="dxa"/>
          </w:tcPr>
          <w:p w:rsidR="00FC06FD" w:rsidRDefault="00FC06FD" w:rsidP="002F046A">
            <w:r>
              <w:t xml:space="preserve">- Регистрация страховых случаев </w:t>
            </w:r>
            <w:r>
              <w:br/>
              <w:t xml:space="preserve">- Оценка ущерба </w:t>
            </w:r>
            <w:r>
              <w:br/>
              <w:t xml:space="preserve">- Одобрение/отказ в выплате </w:t>
            </w:r>
            <w:r>
              <w:br/>
              <w:t>- Ведение отчетности по случаям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Внесение фото/видео доказательств </w:t>
            </w:r>
            <w:r>
              <w:br/>
              <w:t>- Автоматические проверки на мошенничество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Юридический отдел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Подготовка и контроль договоров </w:t>
            </w:r>
            <w:r>
              <w:br/>
              <w:t>- Анализ правовых аспектов выплат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Генерация шаблонов документов </w:t>
            </w:r>
            <w:r>
              <w:br/>
              <w:t>- Хранение подписанных договоров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lastRenderedPageBreak/>
              <w:t>ИТ-отдел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Администрирование системы </w:t>
            </w:r>
            <w:r>
              <w:br/>
              <w:t xml:space="preserve">- Обеспечение безопасности данных </w:t>
            </w:r>
            <w:r>
              <w:br/>
              <w:t>- Обслуживание серверов и базы данных</w:t>
            </w:r>
          </w:p>
        </w:tc>
        <w:tc>
          <w:tcPr>
            <w:tcW w:w="3402" w:type="dxa"/>
          </w:tcPr>
          <w:p w:rsidR="00FC06FD" w:rsidRDefault="00FC06FD">
            <w:r>
              <w:t xml:space="preserve">- Управление учетными записями пользователей </w:t>
            </w:r>
            <w:r>
              <w:br/>
              <w:t>- Мониторинг ошибок и логов системы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 w:rsidRPr="002F046A">
              <w:rPr>
                <w:rStyle w:val="a6"/>
                <w:rFonts w:eastAsiaTheme="minorEastAsia"/>
                <w:b w:val="0"/>
              </w:rPr>
              <w:t>Бухгалтерия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Начисление зарплат сотрудникам </w:t>
            </w:r>
            <w:r>
              <w:br/>
              <w:t xml:space="preserve">- Учёт налогов </w:t>
            </w:r>
            <w:r>
              <w:br/>
              <w:t xml:space="preserve">- Проведение бухгалтерских операций </w:t>
            </w:r>
            <w:r>
              <w:br/>
              <w:t>- Формирование финансовых отчетов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Генерация ведомостей выплат </w:t>
            </w:r>
            <w:r>
              <w:br/>
              <w:t xml:space="preserve">- Поддержка интеграции с банковскими системами </w:t>
            </w:r>
            <w:r>
              <w:br/>
              <w:t>- Автоматическое формирование отчетов по налогам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Pr="002F046A" w:rsidRDefault="00FC06FD">
            <w:r w:rsidRPr="002F046A">
              <w:t>Руководство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Просмотр аналитики </w:t>
            </w:r>
            <w:r>
              <w:br/>
              <w:t xml:space="preserve">- Управление тарифами </w:t>
            </w:r>
            <w:r>
              <w:br/>
              <w:t>- Контроль финансовых показателей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Доступ к сводным отчетам </w:t>
            </w:r>
            <w:r>
              <w:br/>
              <w:t>- Анализ финансовой устойчивости компании</w:t>
            </w:r>
          </w:p>
        </w:tc>
        <w:tc>
          <w:tcPr>
            <w:tcW w:w="3260" w:type="dxa"/>
            <w:vMerge/>
          </w:tcPr>
          <w:p w:rsidR="00FC06FD" w:rsidRDefault="00FC06FD"/>
        </w:tc>
      </w:tr>
    </w:tbl>
    <w:p w:rsidR="002A7D6A" w:rsidRDefault="002A7D6A"/>
    <w:p w:rsidR="00F6670B" w:rsidRDefault="00F6670B"/>
    <w:p w:rsidR="00F6670B" w:rsidRPr="00F6670B" w:rsidRDefault="00F6670B">
      <w:r>
        <w:t xml:space="preserve">*Обе диаграммы прилагаются отдельными файлами, которые можно открыть для более детального просмотра </w:t>
      </w:r>
      <w:r w:rsidRPr="00F6670B">
        <w:t>(</w:t>
      </w:r>
      <w:r>
        <w:t xml:space="preserve">через ресурс </w:t>
      </w:r>
      <w:hyperlink r:id="rId5" w:history="1">
        <w:r w:rsidRPr="002C224D">
          <w:rPr>
            <w:rStyle w:val="a7"/>
          </w:rPr>
          <w:t>https://www.drawio.com/</w:t>
        </w:r>
      </w:hyperlink>
      <w:r w:rsidRPr="00F6670B">
        <w:t xml:space="preserve"> )</w:t>
      </w:r>
    </w:p>
    <w:p w:rsidR="00F6670B" w:rsidRDefault="00F6670B"/>
    <w:p w:rsidR="00F6670B" w:rsidRDefault="00F6670B">
      <w:r w:rsidRPr="00F6670B">
        <w:drawing>
          <wp:inline distT="0" distB="0" distL="0" distR="0" wp14:anchorId="07D4D7E5" wp14:editId="534310C2">
            <wp:extent cx="5940425" cy="42037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0B" w:rsidRPr="00F6670B" w:rsidRDefault="00F6670B" w:rsidP="00F6670B">
      <w:pPr>
        <w:jc w:val="center"/>
        <w:rPr>
          <w:i/>
        </w:rPr>
      </w:pPr>
      <w:r w:rsidRPr="00F6670B">
        <w:rPr>
          <w:i/>
        </w:rPr>
        <w:t>Контекстная ди</w:t>
      </w:r>
      <w:r>
        <w:rPr>
          <w:i/>
        </w:rPr>
        <w:t>а</w:t>
      </w:r>
      <w:r w:rsidRPr="00F6670B">
        <w:rPr>
          <w:i/>
        </w:rPr>
        <w:t>грамма</w:t>
      </w:r>
    </w:p>
    <w:p w:rsidR="00F6670B" w:rsidRDefault="00F6670B">
      <w:r w:rsidRPr="00F6670B">
        <w:lastRenderedPageBreak/>
        <w:drawing>
          <wp:inline distT="0" distB="0" distL="0" distR="0" wp14:anchorId="624B9992" wp14:editId="045CE4DC">
            <wp:extent cx="5940425" cy="42741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0B" w:rsidRDefault="00F6670B" w:rsidP="00F6670B">
      <w:pPr>
        <w:jc w:val="center"/>
      </w:pPr>
      <w:r w:rsidRPr="00F6670B">
        <w:rPr>
          <w:i/>
        </w:rPr>
        <w:t>Диаграмма вариан</w:t>
      </w:r>
      <w:bookmarkStart w:id="0" w:name="_GoBack"/>
      <w:bookmarkEnd w:id="0"/>
      <w:r w:rsidRPr="00F6670B">
        <w:rPr>
          <w:i/>
        </w:rPr>
        <w:t>тов</w:t>
      </w:r>
      <w:r>
        <w:t xml:space="preserve"> </w:t>
      </w:r>
      <w:r w:rsidRPr="00F6670B">
        <w:rPr>
          <w:i/>
        </w:rPr>
        <w:t>использования</w:t>
      </w:r>
    </w:p>
    <w:sectPr w:rsidR="00F6670B" w:rsidSect="00E338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810FA"/>
    <w:multiLevelType w:val="hybridMultilevel"/>
    <w:tmpl w:val="8EC24ADA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7D"/>
    <w:rsid w:val="002A7D6A"/>
    <w:rsid w:val="002F046A"/>
    <w:rsid w:val="0096717D"/>
    <w:rsid w:val="00B41FCA"/>
    <w:rsid w:val="00E338C8"/>
    <w:rsid w:val="00F6670B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E95455"/>
  <w15:chartTrackingRefBased/>
  <w15:docId w15:val="{F4F74991-0B34-4298-A5EE-9A2DEFAA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38C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E338C8"/>
    <w:rPr>
      <w:rFonts w:asciiTheme="minorHAnsi" w:eastAsiaTheme="minorEastAsia" w:hAnsiTheme="minorHAnsi" w:cstheme="minorBidi"/>
      <w:sz w:val="22"/>
      <w:szCs w:val="22"/>
    </w:rPr>
  </w:style>
  <w:style w:type="table" w:styleId="a5">
    <w:name w:val="Table Grid"/>
    <w:basedOn w:val="a1"/>
    <w:rsid w:val="00B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41FCA"/>
    <w:rPr>
      <w:b/>
      <w:bCs/>
    </w:rPr>
  </w:style>
  <w:style w:type="character" w:styleId="a7">
    <w:name w:val="Hyperlink"/>
    <w:basedOn w:val="a0"/>
    <w:rsid w:val="00F66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aw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PROIECTAREA SISTEMELOR INFORMACE, USM, 2025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Выделение пользователей системного интерфейса</dc:subject>
  <dc:creator>Евгений Проверил преподаватель:</dc:creator>
  <cp:keywords/>
  <dc:description/>
  <cp:lastModifiedBy>Евгений</cp:lastModifiedBy>
  <cp:revision>1</cp:revision>
  <dcterms:created xsi:type="dcterms:W3CDTF">2025-03-23T23:14:00Z</dcterms:created>
  <dcterms:modified xsi:type="dcterms:W3CDTF">2025-03-24T01:25:00Z</dcterms:modified>
</cp:coreProperties>
</file>