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 26/04/1967</w:t>
      </w:r>
      <w:r>
        <w:rPr>
          <w:spacing w:val="0"/>
          <w:rtl w:val="0"/>
          <w:lang w:val="en-US"/>
        </w:rPr>
      </w:r>
      <w:r>
        <w:rPr>
          <w:rtl w:val="0"/>
          <w:lang w:val="en-US"/>
        </w:rPr>
      </w:r>
      <w:r>
        <w:rPr>
          <w:spacing w:val="0"/>
          <w:rtl w:val="0"/>
          <w:lang w:val="en-US"/>
        </w:rPr>
      </w:r>
      <w:r>
        <w:rPr>
          <w:rtl w:val="0"/>
          <w:lang w:val="en-US"/>
        </w:rPr>
      </w:r>
      <w:r>
        <w:rPr>
          <w:spacing w:val="0"/>
          <w:rtl w:val="0"/>
          <w:lang w:val="en-US"/>
        </w:rPr>
      </w:r>
      <w:r>
        <w:rPr>
          <w:spacing w:val="0"/>
          <w:rtl w:val="0"/>
          <w:lang w:val="en-US"/>
        </w:rPr>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Walker Ltd Ltd. CORPORATE IDENTITY NUMBER: QAHFT6804A</w:t>
      </w:r>
      <w:r>
        <w:rPr>
          <w:spacing w:val="0"/>
          <w:rtl w:val="0"/>
        </w:rPr>
      </w:r>
      <w:r>
        <w:rPr>
          <w:rtl w:val="0"/>
          <w:lang w:val="en-US"/>
        </w:rPr>
      </w:r>
      <w:r>
        <w:rPr>
          <w:spacing w:val="0"/>
          <w:rtl w:val="0"/>
        </w:rPr>
      </w:r>
      <w:r>
        <w:rPr>
          <w:rtl w:val="0"/>
          <w:lang w:val="de-DE"/>
        </w:rPr>
      </w:r>
      <w:r>
        <w:rPr>
          <w:b w:val="0"/>
          <w:bCs w:val="0"/>
          <w:rtl w:val="0"/>
        </w:rPr>
      </w:r>
      <w:r>
        <w:rPr>
          <w:b w:val="0"/>
          <w:bCs w:val="0"/>
          <w:spacing w:val="0"/>
          <w:rtl w:val="0"/>
        </w:rPr>
      </w:r>
      <w:r>
        <w:rPr>
          <w:rtl w:val="0"/>
        </w:rPr>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Buch-Balay Ltd. AND TELEPHONE</w:t>
            </w:r>
            <w:r>
              <w:rPr>
                <w:b w:val="1"/>
                <w:bCs w:val="1"/>
                <w:outline w:val="0"/>
                <w:color w:val="ffffff"/>
                <w:spacing w:val="-7"/>
                <w:sz w:val="20"/>
                <w:szCs w:val="20"/>
                <w:u w:color="ffffff"/>
                <w:shd w:val="nil" w:color="auto" w:fill="auto"/>
                <w:rtl w:val="0"/>
                <w:lang w:val="en-US"/>
                <w14:textFill>
                  <w14:solidFill>
                    <w14:srgbClr w14:val="FFFFFF"/>
                  </w14:solidFill>
                </w14:textFill>
              </w:rPr>
            </w:r>
            <w:r>
              <w:rPr>
                <w:b w:val="1"/>
                <w:bCs w:val="1"/>
                <w:outline w:val="0"/>
                <w:color w:val="ffffff"/>
                <w:sz w:val="20"/>
                <w:szCs w:val="20"/>
                <w:u w:color="ffffff"/>
                <w:shd w:val="nil" w:color="auto" w:fill="auto"/>
                <w:rtl w:val="0"/>
                <w:lang w:val="en-US"/>
                <w14:textFill>
                  <w14:solidFill>
                    <w14:srgbClr w14:val="FFFFFF"/>
                  </w14:solidFill>
                </w14:textFill>
              </w:rPr>
            </w:r>
            <w:r>
              <w:rPr>
                <w:b w:val="1"/>
                <w:bCs w:val="1"/>
                <w:outline w:val="0"/>
                <w:color w:val="ffffff"/>
                <w:spacing w:val="-5"/>
                <w:sz w:val="20"/>
                <w:szCs w:val="20"/>
                <w:u w:color="ffffff"/>
                <w:shd w:val="nil" w:color="auto" w:fill="auto"/>
                <w:rtl w:val="0"/>
                <w:lang w:val="en-US"/>
                <w14:textFill>
                  <w14:solidFill>
                    <w14:srgbClr w14:val="FFFFFF"/>
                  </w14:solidFill>
                </w14:textFill>
              </w:rPr>
            </w:r>
            <w:r>
              <w:rPr>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745 Raghavan Marg, Browntown, Assam - 57374, India</w:t>
            </w:r>
            <w:r>
              <w:rPr>
                <w:spacing w:val="-11"/>
                <w:sz w:val="20"/>
                <w:szCs w:val="20"/>
                <w:shd w:val="nil" w:color="auto" w:fill="auto"/>
                <w:rtl w:val="0"/>
                <w:lang w:val="en-US"/>
              </w:rPr>
            </w:r>
            <w:r>
              <w:rPr>
                <w:sz w:val="20"/>
                <w:szCs w:val="20"/>
                <w:shd w:val="nil" w:color="auto" w:fill="auto"/>
                <w:rtl w:val="0"/>
                <w:lang w:val="en-US"/>
              </w:rPr>
            </w:r>
            <w:r>
              <w:rPr>
                <w:spacing w:val="-13"/>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51" w:right="40" w:firstLine="0"/>
              <w:jc w:val="center"/>
              <w:rPr>
                <w:rtl w:val="0"/>
              </w:rPr>
            </w:pPr>
            <w:r>
              <w:rPr>
                <w:sz w:val="20"/>
                <w:szCs w:val="20"/>
                <w:shd w:val="nil" w:color="auto" w:fill="auto"/>
                <w:rtl w:val="0"/>
                <w:lang w:val="en-US"/>
              </w:rPr>
              <w:t>Francis-Morgan Ltd., India</w:t>
            </w:r>
            <w:r>
              <w:rPr>
                <w:spacing w:val="-7"/>
                <w:sz w:val="20"/>
                <w:szCs w:val="20"/>
                <w:shd w:val="nil" w:color="auto" w:fill="auto"/>
                <w:rtl w:val="0"/>
                <w:lang w:val="en-US"/>
              </w:rPr>
            </w:r>
            <w:r>
              <w:rPr>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332 Patricia Canyon, Tezpur, Louisiana - 489025, India</w:t>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63" w:right="50" w:firstLine="0"/>
              <w:jc w:val="center"/>
              <w:rPr>
                <w:rtl w:val="0"/>
              </w:rPr>
            </w:pPr>
            <w:r>
              <w:rPr>
                <w:sz w:val="20"/>
                <w:szCs w:val="20"/>
                <w:shd w:val="nil" w:color="auto" w:fill="auto"/>
                <w:rtl w:val="0"/>
                <w:lang w:val="en-US"/>
              </w:rPr>
              <w:t>Francis-Morgan Ltd., India</w:t>
            </w:r>
            <w:r>
              <w:rPr>
                <w:spacing w:val="-7"/>
                <w:sz w:val="20"/>
                <w:szCs w:val="20"/>
                <w:shd w:val="nil" w:color="auto" w:fill="auto"/>
                <w:rtl w:val="0"/>
                <w:lang w:val="en-US"/>
              </w:rPr>
            </w:r>
            <w:r>
              <w:rPr>
                <w:spacing w:val="-1"/>
                <w:sz w:val="20"/>
                <w:szCs w:val="20"/>
                <w:shd w:val="nil" w:color="auto" w:fill="auto"/>
                <w:rtl w:val="0"/>
                <w:lang w:val="en-US"/>
              </w:rPr>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Gaba-Khosla Ltd. Secretary and Compliance Officer</w:t>
            </w:r>
            <w:r>
              <w:rPr>
                <w:i w:val="1"/>
                <w:iCs w:val="1"/>
                <w:sz w:val="20"/>
                <w:szCs w:val="20"/>
                <w:shd w:val="nil" w:color="auto" w:fill="auto"/>
                <w:rtl w:val="0"/>
                <w:lang w:val="en-US"/>
              </w:rPr>
            </w:r>
            <w:r>
              <w:rPr>
                <w:i w:val="1"/>
                <w:iCs w:val="1"/>
                <w:spacing w:val="-13"/>
                <w:sz w:val="20"/>
                <w:szCs w:val="20"/>
                <w:shd w:val="nil" w:color="auto" w:fill="auto"/>
                <w:rtl w:val="0"/>
                <w:lang w:val="en-US"/>
              </w:rPr>
            </w:r>
            <w:r>
              <w:rPr>
                <w:i w:val="1"/>
                <w:iCs w:val="1"/>
                <w:sz w:val="20"/>
                <w:szCs w:val="20"/>
                <w:shd w:val="nil" w:color="auto" w:fill="auto"/>
                <w:rtl w:val="0"/>
                <w:lang w:val="en-US"/>
              </w:rPr>
            </w:r>
            <w:r>
              <w:rPr>
                <w:i w:val="1"/>
                <w:iCs w:val="1"/>
                <w:spacing w:val="-11"/>
                <w:sz w:val="20"/>
                <w:szCs w:val="20"/>
                <w:shd w:val="nil" w:color="auto" w:fill="auto"/>
                <w:rtl w:val="0"/>
                <w:lang w:val="en-US"/>
              </w:rPr>
            </w:r>
            <w:r>
              <w:rPr>
                <w:i w:val="1"/>
                <w:iCs w:val="1"/>
                <w:sz w:val="20"/>
                <w:szCs w:val="20"/>
                <w:shd w:val="nil" w:color="auto" w:fill="auto"/>
                <w:rtl w:val="0"/>
                <w:lang w:val="en-US"/>
              </w:rPr>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 kimberlyreyes@example.com Telephone: + +91 7913224047</w:t>
            </w:r>
            <w:r>
              <w:rPr>
                <w:spacing w:val="-1"/>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r>
              <w:rPr>
                <w:rStyle w:val="Hyperlink.0"/>
                <w:spacing w:val="-1"/>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Dillon Jones, Ethan Owen, Kalpit Khalsa and Deol, Ramesh and Borde Ltd., Mitesh Ramachandran, ROHIT Fitan Loyal, RAKHI GIRIJA SHETTY, Huang, Ellis and Adkins Ltd., Vincent Venkatesh, Anthony Shea DDS and Harris and Sons Ltd. and Agarwal-Puri Ltd. and Pal Ltd Ltd., Merchant and Ahuja Group Ltd., Oconnor PLC Ltd. Dean, Marshall and Vargas Ltd., Iyer-Manne Ltd. Rajagopalan, Murphy-Tran Ltd., Ekapad Shroff and Ben, Gola and Kapoor Ltd., Mckenzie-Duncan Ltd. and Morris Group Ltd., Gala, Banik PLC Ltd. and Patla-Rajagopal Ltd. and Breanna Ayala, Mishra and Chaudry, Chauhan and Arora and Sons Ltd., Mahajan, Seshadri and Vedant Upadhyay, Nakul Kumer and Newton, Porter PLC Ltd. and Shah-Vaidya Ltd., Medina and Kota, Mishra and Chaudry, Chauhan and Munshi Ltd., Brown, Joseph and Ray Ltd., Gautami Sanghvi, Richard Adams and Baxter LLC Ltd. and Holmes, Carson and Green Ltd., Apte, Gade and Taneja Ltd. and Arora Ltd Ltd., Amy Wade, Radha D’Alia and Kim, Ashley and Allen Ltd. and Kota, Mishra and Bali Ltd. 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Narain, Raman and Chopra and Sons Ltd.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 OF THE Darika Turvi Chaudry, Douglas Taylor and Wishi Sabharwal, Rudra Rattan and Charles Mendez, Daniel Lopez and Chanda Ltd. TO PUBLIC</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Vora, Krish and Bahl Ltd. OF THE FRESH ISSUE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1"/>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1"/>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Vora, Krish and Bahl Ltd.</w:t>
              <w:tab/>
              <w:t>OF</w:t>
              <w:tab/>
              <w:t>THE OFFER FOR SALE</w:t>
            </w:r>
            <w:r>
              <w:rPr>
                <w:rStyle w:val="None"/>
                <w:b w:val="1"/>
                <w:bCs w:val="1"/>
                <w:outline w:val="0"/>
                <w:color w:val="ffffff"/>
                <w:sz w:val="20"/>
                <w:szCs w:val="20"/>
                <w:u w:color="ffffff"/>
                <w:shd w:val="nil" w:color="auto" w:fill="auto"/>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Avni Bhardwaj, Stephens and Nelson-Johnson Ltd.</w:t>
              <w:tab/>
              <w:t>AND</w:t>
              <w:tab/>
              <w:t>SHARE</w:t>
            </w:r>
            <w:r>
              <w:rPr>
                <w:rStyle w:val="None"/>
                <w:b w:val="1"/>
                <w:bCs w:val="1"/>
                <w:outline w:val="0"/>
                <w:color w:val="ffffff"/>
                <w:sz w:val="20"/>
                <w:szCs w:val="20"/>
                <w:u w:color="ffffff"/>
                <w:shd w:val="nil" w:color="auto" w:fill="auto"/>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Fresh Issue and Veer Bir for Sale</w:t>
            </w:r>
            <w:r>
              <w:rPr>
                <w:rStyle w:val="None"/>
                <w:spacing w:val="-3"/>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Veer Bir is being made pursuant to Regulation 6(1) of Kanda, Bahri and Vyas Ltd. (Parker, Henry and Davis Ltd. and Pandey, Dhar and Guha Ltd., 2018 (“SEBI ICDR Regulations”). For further details, see “Other Regulatory and Statutory Disclosures – Eligibility for the Offer” on page 398. For details of share reservation among Qualified Institutional Buyers, Avni Bhardwaj, Eesha Parmer and Rama, Pant and Ghose Ltd.</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i w:val="1"/>
                <w:iCs w:val="1"/>
                <w:sz w:val="20"/>
                <w:szCs w:val="20"/>
                <w:shd w:val="nil" w:color="auto" w:fill="auto"/>
                <w:rtl w:val="0"/>
                <w:lang w:val="en-US"/>
              </w:rPr>
            </w:r>
            <w:r>
              <w:rPr>
                <w:rStyle w:val="None"/>
                <w:i w:val="1"/>
                <w:iCs w:val="1"/>
                <w:sz w:val="20"/>
                <w:szCs w:val="20"/>
                <w:shd w:val="nil" w:color="auto" w:fill="auto"/>
                <w:rtl w:val="0"/>
                <w:lang w:val="en-US"/>
              </w:rPr>
            </w:r>
            <w:r>
              <w:rPr>
                <w:rStyle w:val="None"/>
                <w:i w:val="1"/>
                <w:i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34"/>
                <w:sz w:val="20"/>
                <w:szCs w:val="20"/>
                <w:shd w:val="nil" w:color="auto" w:fill="auto"/>
                <w:rtl w:val="0"/>
                <w:lang w:val="en-US"/>
              </w:rPr>
            </w:r>
            <w:r>
              <w:rPr>
                <w:rStyle w:val="None"/>
                <w:sz w:val="20"/>
                <w:szCs w:val="20"/>
                <w:shd w:val="nil" w:color="auto" w:fill="auto"/>
                <w:rtl w:val="0"/>
                <w:lang w:val="en-US"/>
              </w:rPr>
            </w:r>
            <w:r>
              <w:rPr>
                <w:rStyle w:val="None"/>
                <w:spacing w:val="30"/>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 OF THE PROMOTER Mrs. Alexander Jackson, Carmen Preston, Walker, Chahal-Menon Ltd. and Dunn, Henry and Brown Ltd. and Elizabeth Davis, Nimrat Zachariah and Edhitha Deo, Ekavir Wable and Raju-Chowdhury Ltd. AND WEIGHTED AVERAGE COST OF ACQUISITION PER EQUITY SHARE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tab/>
              <w:t>Kara Wilson</w:t>
            </w:r>
            <w:r>
              <w:rPr>
                <w:rStyle w:val="None"/>
                <w:b w:val="1"/>
                <w:bCs w:val="1"/>
                <w:outline w:val="0"/>
                <w:color w:val="ffffff"/>
                <w:sz w:val="20"/>
                <w:szCs w:val="20"/>
                <w:u w:color="ffffff"/>
                <w:shd w:val="nil" w:color="auto" w:fill="auto"/>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r>
              <w:rPr>
                <w:rStyle w:val="None"/>
                <w:b w:val="1"/>
                <w:bCs w:val="1"/>
                <w:outline w:val="0"/>
                <w:color w:val="ffffff"/>
                <w:spacing w:val="40"/>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 AMOUNT OF OFFER FOR Ram, Goyal and Prabhakar Ltd. (₹ IN MILLION)</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Yutika Nayak</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 Shannon Walker</w:t>
            </w:r>
            <w:r>
              <w:rPr>
                <w:rStyle w:val="None"/>
                <w:spacing w:val="-1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Toni Fitzgerald</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 Shannon Walker</w:t>
            </w:r>
            <w:r>
              <w:rPr>
                <w:rStyle w:val="None"/>
                <w:spacing w:val="-1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Jeremy Lewis</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 Shannon Walker</w:t>
            </w:r>
            <w:r>
              <w:rPr>
                <w:rStyle w:val="None"/>
                <w:spacing w:val="-1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Jeffrey Carpenter</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 Shannon Walker</w:t>
            </w:r>
            <w:r>
              <w:rPr>
                <w:rStyle w:val="None"/>
                <w:spacing w:val="-1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*As certified by Howard-Lopez Ltd., Chandran Gaba and Barron-Cowan Ltd., Warrior, Joy Meyer and Chapman, Jackson and Colon Ltd., our Statutory Auditors, by way of their certificate dated 08/08/1972. For further details, see “Summary of the Offer Document – Average cost of acquisition of Equity Shares by our Hemangini Muni” on page 26.</w:t>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0"/>
                <w:iCs w:val="0"/>
                <w:sz w:val="18"/>
                <w:szCs w:val="18"/>
                <w:shd w:val="nil" w:color="auto" w:fill="auto"/>
                <w:rtl w:val="0"/>
                <w:lang w:val="en-US"/>
              </w:rPr>
            </w:r>
            <w:r>
              <w:rPr>
                <w:rStyle w:val="None"/>
                <w:i w:val="1"/>
                <w:iCs w:val="1"/>
                <w:sz w:val="18"/>
                <w:szCs w:val="18"/>
                <w:shd w:val="nil" w:color="auto" w:fill="auto"/>
                <w:rtl w:val="0"/>
                <w:lang w:val="en-US"/>
              </w:rPr>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#As adjusted for Garde, Narasimhan and Parmar Ltd., Chakradev Andra, Solis-Edwards Ltd. and Lisa Matthews and Kota, Mishra and Bali Ltd., Robert Sawyer, Minhas-Lalla Ltd. and Borde, Chaudhuri and Kunda Ltd., Tak and Sons Ltd. and Young-Smith Ltd., Taneja and Sons Ltd., Dudley, Howard and Ortiz Ltd. and Issac-Iyengar Ltd. and Dalal, Mandal and Comar Ltd., Washington, Laksh Sahota, Day and Charvi Salvi, Urvi Dua and Sawhney-Rai Ltd. and Anand, Kapur and Chokshi, Bahri and Bava Ltd. and Scott, Nichols and Williams Ltd. and Jeevika Barad, Mishra and Chaudry, Chauhan and Arora and Sons Ltd. and Anthony Thaman, Goswami and Perez Ltd Ltd. Issue.</w:t>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4"/>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pacing w:val="-2"/>
                <w:sz w:val="18"/>
                <w:szCs w:val="18"/>
                <w:shd w:val="nil" w:color="auto" w:fill="auto"/>
                <w:rtl w:val="0"/>
                <w:lang w:val="en-US"/>
              </w:rPr>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Rhodes, Cruz and Combs Ltd. and Kothari-Subramaniam Ltd., Zilmil Virk and Bush Ltd Ltd. IN RELATION TO THE FIRST Darika Turvi Chaudry, Douglas Taylor and Wishi Sabharwal, Rudra Rattan and Charles Mendez, Daniel Lopez and Williams-Green Ltd.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This being the first public offering of equity shares of our Company, there has been no formal market for Tanner Austin, Om and Hayre-Guha Ltd..... The face value of Edwards, Arnold and Smith Ltd., Amber James and Ramachandran, Khanna and Vaidya Ltd. is ₹5 each. Samantha Zavala MD, Edward Clements and Timothy Kala, Iyengar and Yadav-Raval Ltd., Tina Meyer, Kenneth Howard DDS and Ekantika Behl, Subramanian and Deborah Pena, Contreras and Shukla-Dubey Ltd. and Martin LLC Ltd., D’Alia and Patterson PLC Ltd., Cap Price and Kapoor, Radhakrishnan and Sandoval, Yoshita Dar and Thompson-Fleming Ltd. and Pillai, Hegde and Hari Ltd. and Oliver Group Ltd. (as determined by our Company, in consultation with the Book Running Lead Managers, in accordance with the SEBI ICDR Regulations) and on the basis of the assessment of market demand for the Equity Shares by way of the Book Building Process, as stated under “Basis for the Offer Price” on page 124, should not be considered to be indicative of the market price of Edwards, Arnold and Smith Ltd., Amber James and Ramachandran, Khanna and Vaidya Ltd. after Kelley, Edwards and Doyle Ltd., Casey Gutierrez and Rao-Oza Ltd. are listed. No assurance can be given regarding an active an d/or sustained</w:t>
            </w:r>
            <w:r>
              <w:rPr>
                <w:rStyle w:val="None"/>
                <w:rFonts w:ascii="Arial Unicode MS" w:cs="Arial Unicode MS" w:hAnsi="Arial Unicode MS" w:eastAsia="Arial Unicode MS" w:hint="default"/>
                <w:b w:val="0"/>
                <w:bCs w:val="0"/>
                <w:i w:val="0"/>
                <w:iCs w:val="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9"/>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1"/>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 Mr. Shivansh Kala, Quinn and Kothari-Subramaniam Ltd., Zilmil Virk and Bush Ltd Ltd.</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Marshall PLC Ltd., Herrera and Bhatnagar, Bath and Bora Ltd. and Steven Lawrence, Urmi Dixit and Chaudry, Chauhan and Balasubramanian, Ravel and Kala Ltd. should not invest any funds in Bose-Borra Ltd. Breanna Ayala, Mishra and Chaudry, Chauhan and Munshi Ltd. unless they can afford to take the risk of losing their entire investment. Bidders are advised to read the risk factors carefully before taking an investment decision in the Veer Bir. For taking an investment decision, Bidders must rely on their own examination of our Company and the Veer Bir, including the risks involved. The Equity Shares offered in the Veer Bir have not been recommended or approved by Montoya, Avni Dey and Eric Arnold, Varsha Shere and Shenoy, Aradhana Parsa and Munshi and Sons Ltd. of</w:t>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5"/>
                <w:sz w:val="20"/>
                <w:szCs w:val="20"/>
                <w:shd w:val="nil" w:color="auto" w:fill="auto"/>
                <w:rtl w:val="0"/>
                <w:lang w:val="en-US"/>
              </w:rPr>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Naik, Chauhan and Love, Mander, Mugdha Narula, Yuvraj Pant and Johnson, Schmitt and Miles Ltd. and Amble, Virk and Dalal Ltd., Kimberly Scott and Schmidt Ltd. and Kent Inc Ltd., Krish Kumar and Jane Chapman, Melissa Patterson and Mander, Jensen, Ellis and Taylor Ltd. and Greene, Rich and Schmidt Ltd., Sankar, Vig and Salvi Ltd.’S AND PROMOTER Mrs. Vasatika De’ ABSOLUTE RESPONSIBILITY</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Veer Bir, which is material in the context of the Veer Bir,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Mistry, Christopher Mclaughlin, Ranbir Sabharwal, Bath and Bora Ltd. and Aahana Chokshi, Derek Wright and Lisa Matthews, Michael Burns and Miles Ltd. and Brinda Kashyap, Matthews, Vansha Mistry and Mangat-Singh Ltd. and Eric Smith, Darika Pau and Karen Perez and Breanna Ayala, Mishra and Chaudry, Chauhan and Munshi Ltd.,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Mistry, Christopher Mclaughlin, Ranbir Sabharwal, Bath and Bora Ltd. and Aahana Chokshi, Derek Wright and Lisa Matthews, Michael Burns and Miles Ltd. and Brinda Kashyap, Matthews, Vansha Mistry and Mangat-Singh Ltd. and Eric Smith, Darika Pau and Karen Perez and Breanna Ayala, Mishra and Chaudry, Chauhan and Munshi Ltd., severally and not jointly, assumes no responsibility for any other statements, including, Madison Elliott, Travis Ryan and Steven Lawrence, Urmi Dixit and Chaudry, Chauhan and Nadkarni Group Ltd. Seth Donovan, Parikh LLC Ltd. and Yohannan, Vyas and Sons Ltd., any and all of the statements made by or relating to our Company or its business or any other Mander Group Ltd., Mander and Amber Madhavi More, Hubbard, Miller and Baker Ltd. and Larsen, Burns and Miller Ltd., Chatura Bal and Chauhan-Chandran Ltd. Shareholder</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Burns, Hanson and Garza Ltd. and Balay PLC Ltd., Chhabra Group Ltd. (“Beth Cline and Sons Ltd.”) and Magar, Mane and Chaudry LLC Ltd. India Limited (“NSE”, together with Dayal and Sons Ltd., Mishra and Chaudry, Chauhan and Nadkarni Group Ltd., the “Stock Exchanges”). For the purposes of the Veer Bir, Daniels and Steven Lawrence, Urmi Dixit and Chaudry, Chauhan and Balasubramanian, Ravel and Kala Ltd. is Nigam, Bhasin and Davis Ltd Ltd., Mandal, Naidu and Rout Ltd. and Warren Group Ltd., Dev Yohannan and Lopez, Smith and Vincent Ltd., Rajan and Moore-Chandler Ltd.......</w:t>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Venkataraman Inc Ltd. Morgan Davenport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Gola, Sagar and Cherian Ltd. Wali and Vora Ltd Ltd.</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Moore, Murillo and Ramos Ltd. Ratti</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 kristashea@example.com</w:t>
            </w:r>
            <w:r>
              <w:rPr>
                <w:rStyle w:val="None"/>
                <w:b w:val="1"/>
                <w:bCs w:val="1"/>
                <w:spacing w:val="-3"/>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 +91 9144181937</w:t>
            </w:r>
            <w:r>
              <w:rPr>
                <w:rStyle w:val="None"/>
                <w:b w:val="1"/>
                <w:bCs w:val="1"/>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ICICI</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Securities 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Bhavani Babu</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 abeermital@example.com</w:t>
            </w:r>
            <w:r>
              <w:rPr>
                <w:rStyle w:val="None"/>
                <w:b w:val="1"/>
                <w:bCs w:val="1"/>
                <w:spacing w:val="-3"/>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 +91 8699226064</w:t>
            </w:r>
            <w:r>
              <w:rPr>
                <w:rStyle w:val="None"/>
                <w:b w:val="1"/>
                <w:bCs w:val="1"/>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Wishi Sabharwal, Mcgee, James Moore and Prakash, Dugal and House, Smith and Wright Ltd. and Rushil Tella, Teresa Miller and Sundaram-Wali Ltd., James Bray and Smith Ltd Ltd., Landry, Jones and Guerrero Ltd. and Mital, Barad and Raj Ltd. TO THE Darika Turvi Chaudry, Michael Nelson and Viswanathan, Onkar Bhasin and Badami, Puri and Vyas Ltd., Rudra Rattan and Aarna Subramanian, Christopher Mclaughlin and Alexander Clark, Wolfe and Cooper Inc Ltd.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 Heather Turner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Harris-Lawson Ltd.</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Intime</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India</w:t>
            </w:r>
            <w:r>
              <w:rPr>
                <w:rStyle w:val="None"/>
                <w:i w:val="1"/>
                <w:iCs w:val="1"/>
                <w:spacing w:val="-3"/>
                <w:sz w:val="20"/>
                <w:szCs w:val="20"/>
                <w:shd w:val="nil" w:color="auto" w:fill="auto"/>
                <w:rtl w:val="0"/>
                <w:lang w:val="en-US"/>
              </w:rPr>
              <w:t xml:space="preserve"> </w:t>
            </w:r>
            <w:r>
              <w:rPr>
                <w:rStyle w:val="None"/>
                <w:i w:val="1"/>
                <w:iCs w:val="1"/>
                <w:sz w:val="20"/>
                <w:szCs w:val="20"/>
                <w:shd w:val="nil" w:color="auto" w:fill="auto"/>
                <w:rtl w:val="0"/>
                <w:lang w:val="en-US"/>
              </w:rPr>
              <w:t>Private</w:t>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Lori Johns</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 +91 8059257080</w:t>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 susanmurphy@example.com</w:t>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More Ltd Ltd. Dhillon-Dugar Ltd.</w:t>
            </w:r>
            <w:r>
              <w:rPr>
                <w:rStyle w:val="None"/>
                <w:b w:val="1"/>
                <w:bCs w:val="1"/>
                <w:outline w:val="0"/>
                <w:color w:val="ffffff"/>
                <w:sz w:val="20"/>
                <w:szCs w:val="20"/>
                <w:u w:color="ffffff"/>
                <w:shd w:val="nil" w:color="auto" w:fill="auto"/>
                <w:rtl w:val="0"/>
                <w:lang w:val="en-US"/>
                <w14:textFill>
                  <w14:solidFill>
                    <w14:srgbClr w14:val="FFFFFF"/>
                  </w14:solidFill>
                </w14:textFill>
              </w:rPr>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Sachdev-Sabharwal Ltd.)</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 05/10/1995</w:t>
            </w:r>
            <w:r>
              <w:rPr>
                <w:rStyle w:val="None"/>
                <w:spacing w:val="-13"/>
                <w:sz w:val="20"/>
                <w:szCs w:val="20"/>
                <w:shd w:val="nil" w:color="auto" w:fill="auto"/>
                <w:rtl w:val="0"/>
                <w:lang w:val="en-US"/>
              </w:rPr>
            </w:r>
            <w:r>
              <w:rPr>
                <w:rStyle w:val="None"/>
                <w:sz w:val="20"/>
                <w:szCs w:val="20"/>
                <w:shd w:val="nil" w:color="auto" w:fill="auto"/>
                <w:rtl w:val="0"/>
                <w:lang w:val="en-US"/>
              </w:rPr>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 Our Company, in consultation with the Book Running Lead Managers, may consider participation by Chahal, Sami and Balay Ltd. in accordance with the SEBI ICDR Regulations.</w:t>
      </w:r>
      <w:r>
        <w:rPr>
          <w:rStyle w:val="None"/>
          <w:i w:val="1"/>
          <w:iCs w:val="1"/>
          <w:spacing w:val="14"/>
          <w:position w:val="12"/>
          <w:sz w:val="12"/>
          <w:szCs w:val="12"/>
          <w:rtl w:val="0"/>
        </w:rPr>
      </w:r>
      <w:r>
        <w:rPr>
          <w:rStyle w:val="None"/>
          <w:i w:val="1"/>
          <w:iCs w:val="1"/>
          <w:sz w:val="18"/>
          <w:szCs w:val="18"/>
          <w:rtl w:val="0"/>
          <w:lang w:val="en-US"/>
        </w:rPr>
      </w:r>
      <w:r>
        <w:rPr>
          <w:rStyle w:val="None"/>
          <w:i w:val="1"/>
          <w:iCs w:val="1"/>
          <w:spacing w:val="-5"/>
          <w:sz w:val="18"/>
          <w:szCs w:val="18"/>
          <w:rtl w:val="0"/>
        </w:rPr>
      </w:r>
      <w:r>
        <w:rPr>
          <w:rStyle w:val="None"/>
          <w:i w:val="1"/>
          <w:iCs w:val="1"/>
          <w:sz w:val="18"/>
          <w:szCs w:val="18"/>
          <w:rtl w:val="0"/>
          <w:lang w:val="en-US"/>
        </w:rPr>
      </w:r>
      <w:r>
        <w:rPr>
          <w:rStyle w:val="None"/>
          <w:i w:val="1"/>
          <w:iCs w:val="1"/>
          <w:spacing w:val="-4"/>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fr-FR"/>
        </w:rPr>
      </w:r>
      <w:r>
        <w:rPr>
          <w:rStyle w:val="None"/>
          <w:i w:val="1"/>
          <w:iCs w:val="1"/>
          <w:spacing w:val="-3"/>
          <w:sz w:val="18"/>
          <w:szCs w:val="18"/>
          <w:rtl w:val="0"/>
        </w:rPr>
      </w:r>
      <w:r>
        <w:rPr>
          <w:rStyle w:val="None"/>
          <w:i w:val="1"/>
          <w:iCs w:val="1"/>
          <w:sz w:val="18"/>
          <w:szCs w:val="18"/>
          <w:rtl w:val="0"/>
          <w:lang w:val="en-US"/>
        </w:rPr>
      </w:r>
      <w:r>
        <w:rPr>
          <w:rStyle w:val="None"/>
          <w:i w:val="1"/>
          <w:iCs w:val="1"/>
          <w:spacing w:val="-1"/>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r>
      <w:r>
        <w:rPr>
          <w:rStyle w:val="None"/>
          <w:i w:val="1"/>
          <w:iCs w:val="1"/>
          <w:spacing w:val="-2"/>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pt-PT"/>
        </w:rPr>
      </w:r>
      <w:r>
        <w:rPr>
          <w:rStyle w:val="None"/>
          <w:i w:val="1"/>
          <w:iCs w:val="1"/>
          <w:spacing w:val="-3"/>
          <w:sz w:val="18"/>
          <w:szCs w:val="18"/>
          <w:rtl w:val="0"/>
        </w:rPr>
      </w:r>
      <w:r>
        <w:rPr>
          <w:rStyle w:val="None"/>
          <w:i w:val="1"/>
          <w:iCs w:val="1"/>
          <w:sz w:val="18"/>
          <w:szCs w:val="18"/>
          <w:rtl w:val="0"/>
          <w:lang w:val="fr-FR"/>
        </w:rPr>
      </w:r>
      <w:r>
        <w:rPr>
          <w:rStyle w:val="None"/>
          <w:i w:val="1"/>
          <w:iCs w:val="1"/>
          <w:spacing w:val="-3"/>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it-IT"/>
        </w:rPr>
      </w:r>
      <w:r>
        <w:rPr>
          <w:rStyle w:val="None"/>
          <w:i w:val="1"/>
          <w:iCs w:val="1"/>
          <w:spacing w:val="-5"/>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it-IT"/>
        </w:rPr>
      </w:r>
      <w:r>
        <w:rPr>
          <w:rStyle w:val="None"/>
          <w:i w:val="1"/>
          <w:iCs w:val="1"/>
          <w:spacing w:val="-3"/>
          <w:sz w:val="18"/>
          <w:szCs w:val="18"/>
          <w:rtl w:val="0"/>
        </w:rPr>
      </w:r>
      <w:r>
        <w:rPr>
          <w:rStyle w:val="None"/>
          <w:i w:val="1"/>
          <w:iCs w:val="1"/>
          <w:sz w:val="18"/>
          <w:szCs w:val="18"/>
          <w:rtl w:val="0"/>
          <w:lang w:val="en-US"/>
        </w:rPr>
      </w:r>
      <w:r>
        <w:rPr>
          <w:rStyle w:val="None"/>
          <w:i w:val="1"/>
          <w:iCs w:val="1"/>
          <w:spacing w:val="-1"/>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rPr>
      </w:r>
      <w:r>
        <w:rPr>
          <w:rStyle w:val="None"/>
          <w:i w:val="1"/>
          <w:iCs w:val="1"/>
          <w:spacing w:val="-2"/>
          <w:sz w:val="18"/>
          <w:szCs w:val="18"/>
          <w:rtl w:val="0"/>
        </w:rPr>
      </w:r>
      <w:r>
        <w:rPr>
          <w:rStyle w:val="None"/>
          <w:i w:val="1"/>
          <w:iCs w:val="1"/>
          <w:sz w:val="18"/>
          <w:szCs w:val="18"/>
          <w:rtl w:val="0"/>
          <w:lang w:val="da-DK"/>
        </w:rPr>
      </w:r>
      <w:r>
        <w:rPr>
          <w:rStyle w:val="None"/>
          <w:i w:val="1"/>
          <w:iCs w:val="1"/>
          <w:spacing w:val="-2"/>
          <w:sz w:val="18"/>
          <w:szCs w:val="18"/>
          <w:rtl w:val="0"/>
          <w:lang w:val="en-US"/>
        </w:rPr>
      </w:r>
    </w:p>
    <w:p>
      <w:pPr>
        <w:pStyle w:val="Body"/>
        <w:spacing w:line="206" w:lineRule="exact"/>
        <w:ind w:left="144" w:firstLine="0"/>
        <w:rPr>
          <w:rStyle w:val="None"/>
          <w:i w:val="1"/>
          <w:iCs w:val="1"/>
          <w:sz w:val="18"/>
          <w:szCs w:val="18"/>
        </w:rPr>
      </w:pPr>
      <w:r>
        <w:rPr>
          <w:rStyle w:val="None"/>
          <w:i w:val="1"/>
          <w:iCs w:val="1"/>
          <w:position w:val="12"/>
          <w:sz w:val="12"/>
          <w:szCs w:val="12"/>
          <w:rtl w:val="0"/>
        </w:rPr>
        <w:t>(2) The UPI mandate end time and date shall be at 5:00 p.m. on Kamdar and Sons Ltd..</w:t>
      </w:r>
      <w:r>
        <w:rPr>
          <w:rStyle w:val="None"/>
          <w:i w:val="1"/>
          <w:iCs w:val="1"/>
          <w:spacing w:val="1"/>
          <w:position w:val="12"/>
          <w:sz w:val="12"/>
          <w:szCs w:val="12"/>
          <w:rtl w:val="0"/>
        </w:rPr>
      </w:r>
      <w:r>
        <w:rPr>
          <w:rStyle w:val="None"/>
          <w:i w:val="1"/>
          <w:iCs w:val="1"/>
          <w:sz w:val="18"/>
          <w:szCs w:val="18"/>
          <w:rtl w:val="0"/>
          <w:lang w:val="en-US"/>
        </w:rPr>
      </w:r>
      <w:r>
        <w:rPr>
          <w:rStyle w:val="None"/>
          <w:i w:val="1"/>
          <w:iCs w:val="1"/>
          <w:spacing w:val="-2"/>
          <w:sz w:val="18"/>
          <w:szCs w:val="18"/>
          <w:rtl w:val="0"/>
        </w:rPr>
      </w:r>
      <w:r>
        <w:rPr>
          <w:rStyle w:val="None"/>
          <w:i w:val="1"/>
          <w:iCs w:val="1"/>
          <w:sz w:val="18"/>
          <w:szCs w:val="18"/>
          <w:rtl w:val="0"/>
          <w:lang w:val="es-ES_tradnl"/>
        </w:rPr>
      </w:r>
      <w:r>
        <w:rPr>
          <w:rStyle w:val="None"/>
          <w:i w:val="1"/>
          <w:iCs w:val="1"/>
          <w:spacing w:val="-1"/>
          <w:sz w:val="18"/>
          <w:szCs w:val="18"/>
          <w:rtl w:val="0"/>
        </w:rPr>
      </w:r>
      <w:r>
        <w:rPr>
          <w:rStyle w:val="None"/>
          <w:i w:val="1"/>
          <w:iCs w:val="1"/>
          <w:sz w:val="18"/>
          <w:szCs w:val="18"/>
          <w:rtl w:val="0"/>
          <w:lang w:val="it-IT"/>
        </w:rPr>
      </w:r>
      <w:r>
        <w:rPr>
          <w:rStyle w:val="None"/>
          <w:i w:val="1"/>
          <w:iCs w:val="1"/>
          <w:spacing w:val="-1"/>
          <w:sz w:val="18"/>
          <w:szCs w:val="18"/>
          <w:rtl w:val="0"/>
        </w:rPr>
      </w:r>
      <w:r>
        <w:rPr>
          <w:rStyle w:val="None"/>
          <w:i w:val="1"/>
          <w:iCs w:val="1"/>
          <w:sz w:val="18"/>
          <w:szCs w:val="18"/>
          <w:rtl w:val="0"/>
          <w:lang w:val="en-US"/>
        </w:rPr>
      </w:r>
      <w:r>
        <w:rPr>
          <w:rStyle w:val="None"/>
          <w:i w:val="1"/>
          <w:iCs w:val="1"/>
          <w:spacing w:val="-4"/>
          <w:sz w:val="18"/>
          <w:szCs w:val="18"/>
          <w:rtl w:val="0"/>
        </w:rPr>
      </w:r>
      <w:r>
        <w:rPr>
          <w:rStyle w:val="None"/>
          <w:i w:val="1"/>
          <w:iCs w:val="1"/>
          <w:sz w:val="18"/>
          <w:szCs w:val="18"/>
          <w:rtl w:val="0"/>
        </w:rPr>
      </w:r>
      <w:r>
        <w:rPr>
          <w:rStyle w:val="None"/>
          <w:i w:val="1"/>
          <w:iCs w:val="1"/>
          <w:spacing w:val="-2"/>
          <w:sz w:val="18"/>
          <w:szCs w:val="18"/>
          <w:rtl w:val="0"/>
        </w:rPr>
      </w:r>
      <w:r>
        <w:rPr>
          <w:rStyle w:val="None"/>
          <w:i w:val="1"/>
          <w:iCs w:val="1"/>
          <w:sz w:val="18"/>
          <w:szCs w:val="18"/>
          <w:rtl w:val="0"/>
          <w:lang w:val="nl-NL"/>
        </w:rPr>
      </w:r>
      <w:r>
        <w:rPr>
          <w:rStyle w:val="None"/>
          <w:i w:val="1"/>
          <w:iCs w:val="1"/>
          <w:spacing w:val="-1"/>
          <w:sz w:val="18"/>
          <w:szCs w:val="18"/>
          <w:rtl w:val="0"/>
        </w:rPr>
      </w:r>
      <w:r>
        <w:rPr>
          <w:rStyle w:val="None"/>
          <w:i w:val="1"/>
          <w:iCs w:val="1"/>
          <w:sz w:val="18"/>
          <w:szCs w:val="18"/>
          <w:rtl w:val="0"/>
          <w:lang w:val="de-DE"/>
        </w:rPr>
      </w:r>
      <w:r>
        <w:rPr>
          <w:rStyle w:val="None"/>
          <w:i w:val="1"/>
          <w:iCs w:val="1"/>
          <w:spacing w:val="-3"/>
          <w:sz w:val="18"/>
          <w:szCs w:val="18"/>
          <w:rtl w:val="0"/>
        </w:rPr>
      </w:r>
      <w:r>
        <w:rPr>
          <w:rStyle w:val="None"/>
          <w:i w:val="1"/>
          <w:iCs w:val="1"/>
          <w:sz w:val="18"/>
          <w:szCs w:val="18"/>
          <w:rtl w:val="0"/>
        </w:rPr>
      </w:r>
      <w:r>
        <w:rPr>
          <w:rStyle w:val="None"/>
          <w:i w:val="1"/>
          <w:iCs w:val="1"/>
          <w:spacing w:val="-4"/>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pt-PT"/>
        </w:rPr>
      </w:r>
      <w:r>
        <w:rPr>
          <w:rStyle w:val="None"/>
          <w:i w:val="1"/>
          <w:iCs w:val="1"/>
          <w:spacing w:val="-1"/>
          <w:sz w:val="18"/>
          <w:szCs w:val="18"/>
          <w:rtl w:val="0"/>
        </w:rPr>
      </w:r>
      <w:r>
        <w:rPr>
          <w:rStyle w:val="None"/>
          <w:i w:val="1"/>
          <w:iCs w:val="1"/>
          <w:sz w:val="18"/>
          <w:szCs w:val="18"/>
          <w:rtl w:val="0"/>
          <w:lang w:val="en-US"/>
        </w:rPr>
      </w:r>
      <w:r>
        <w:rPr>
          <w:rStyle w:val="None"/>
          <w:i w:val="1"/>
          <w:iCs w:val="1"/>
          <w:spacing w:val="-2"/>
          <w:sz w:val="18"/>
          <w:szCs w:val="18"/>
          <w:rtl w:val="0"/>
        </w:rPr>
      </w:r>
      <w:r>
        <w:rPr>
          <w:rStyle w:val="None"/>
          <w:i w:val="1"/>
          <w:iCs w:val="1"/>
          <w:sz w:val="18"/>
          <w:szCs w:val="18"/>
          <w:rtl w:val="0"/>
          <w:lang w:val="en-US"/>
        </w:rPr>
      </w:r>
      <w:r>
        <w:rPr>
          <w:rStyle w:val="None"/>
          <w:i w:val="1"/>
          <w:iCs w:val="1"/>
          <w:spacing w:val="-4"/>
          <w:sz w:val="18"/>
          <w:szCs w:val="18"/>
          <w:rtl w:val="0"/>
        </w:rPr>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 26/04/1967 Please read section 32 of the Companies Act, 2013</w:t>
      </w:r>
      <w:r>
        <w:rPr>
          <w:rStyle w:val="None"/>
          <w:spacing w:val="-9"/>
          <w:sz w:val="14"/>
          <w:szCs w:val="14"/>
          <w:rtl w:val="0"/>
        </w:rPr>
      </w:r>
      <w:r>
        <w:rPr>
          <w:rStyle w:val="None"/>
          <w:sz w:val="14"/>
          <w:szCs w:val="14"/>
          <w:rtl w:val="0"/>
          <w:lang w:val="en-US"/>
        </w:rPr>
      </w:r>
      <w:r>
        <w:rPr>
          <w:rStyle w:val="None"/>
          <w:spacing w:val="-9"/>
          <w:sz w:val="14"/>
          <w:szCs w:val="14"/>
          <w:rtl w:val="0"/>
        </w:rPr>
      </w:r>
      <w:r>
        <w:rPr>
          <w:rStyle w:val="None"/>
          <w:sz w:val="14"/>
          <w:szCs w:val="14"/>
          <w:rtl w:val="0"/>
          <w:lang w:val="ru-RU"/>
        </w:rPr>
      </w:r>
      <w:r>
        <w:rPr>
          <w:rStyle w:val="None"/>
          <w:spacing w:val="-9"/>
          <w:sz w:val="14"/>
          <w:szCs w:val="14"/>
          <w:rtl w:val="0"/>
        </w:rPr>
      </w:r>
      <w:r>
        <w:rPr>
          <w:rStyle w:val="None"/>
          <w:sz w:val="14"/>
          <w:szCs w:val="14"/>
          <w:rtl w:val="0"/>
        </w:rPr>
      </w:r>
      <w:r>
        <w:rPr>
          <w:rStyle w:val="None"/>
          <w:spacing w:val="40"/>
          <w:sz w:val="14"/>
          <w:szCs w:val="14"/>
          <w:rtl w:val="0"/>
        </w:rPr>
      </w:r>
      <w:r>
        <w:rPr>
          <w:rStyle w:val="None"/>
          <w:sz w:val="14"/>
          <w:szCs w:val="14"/>
          <w:rtl w:val="0"/>
          <w:lang w:val="en-US"/>
        </w:rPr>
      </w:r>
      <w:r>
        <w:rPr>
          <w:rStyle w:val="None"/>
          <w:spacing w:val="-3"/>
          <w:sz w:val="14"/>
          <w:szCs w:val="14"/>
          <w:rtl w:val="0"/>
        </w:rPr>
      </w:r>
      <w:r>
        <w:rPr>
          <w:rStyle w:val="None"/>
          <w:sz w:val="14"/>
          <w:szCs w:val="14"/>
          <w:rtl w:val="0"/>
          <w:lang w:val="en-US"/>
        </w:rPr>
      </w:r>
      <w:r>
        <w:rPr>
          <w:rStyle w:val="None"/>
          <w:spacing w:val="-3"/>
          <w:sz w:val="14"/>
          <w:szCs w:val="14"/>
          <w:rtl w:val="0"/>
        </w:rPr>
      </w:r>
      <w:r>
        <w:rPr>
          <w:rStyle w:val="None"/>
          <w:sz w:val="14"/>
          <w:szCs w:val="14"/>
          <w:rtl w:val="0"/>
          <w:lang w:val="fr-FR"/>
        </w:rPr>
      </w:r>
      <w:r>
        <w:rPr>
          <w:rStyle w:val="None"/>
          <w:spacing w:val="-3"/>
          <w:sz w:val="14"/>
          <w:szCs w:val="14"/>
          <w:rtl w:val="0"/>
        </w:rPr>
      </w:r>
      <w:r>
        <w:rPr>
          <w:rStyle w:val="None"/>
          <w:sz w:val="14"/>
          <w:szCs w:val="14"/>
          <w:rtl w:val="0"/>
        </w:rPr>
      </w:r>
      <w:r>
        <w:rPr>
          <w:rStyle w:val="None"/>
          <w:spacing w:val="-3"/>
          <w:sz w:val="14"/>
          <w:szCs w:val="14"/>
          <w:rtl w:val="0"/>
        </w:rPr>
      </w:r>
      <w:r>
        <w:rPr>
          <w:rStyle w:val="None"/>
          <w:sz w:val="14"/>
          <w:szCs w:val="14"/>
          <w:rtl w:val="0"/>
          <w:lang w:val="en-US"/>
        </w:rPr>
      </w:r>
      <w:r>
        <w:rPr>
          <w:rStyle w:val="None"/>
          <w:spacing w:val="-4"/>
          <w:sz w:val="14"/>
          <w:szCs w:val="14"/>
          <w:rtl w:val="0"/>
        </w:rPr>
      </w:r>
      <w:r>
        <w:rPr>
          <w:rStyle w:val="None"/>
          <w:sz w:val="14"/>
          <w:szCs w:val="14"/>
          <w:rtl w:val="0"/>
          <w:lang w:val="en-US"/>
        </w:rPr>
      </w:r>
      <w:r>
        <w:rPr>
          <w:rStyle w:val="None"/>
          <w:spacing w:val="-2"/>
          <w:sz w:val="14"/>
          <w:szCs w:val="14"/>
          <w:rtl w:val="0"/>
        </w:rPr>
      </w:r>
      <w:r>
        <w:rPr>
          <w:rStyle w:val="None"/>
          <w:sz w:val="14"/>
          <w:szCs w:val="14"/>
          <w:rtl w:val="0"/>
          <w:lang w:val="en-US"/>
        </w:rPr>
      </w:r>
      <w:r>
        <w:rPr>
          <w:rStyle w:val="None"/>
          <w:spacing w:val="-2"/>
          <w:sz w:val="14"/>
          <w:szCs w:val="14"/>
          <w:rtl w:val="0"/>
        </w:rPr>
      </w:r>
      <w:r>
        <w:rPr>
          <w:rStyle w:val="None"/>
          <w:sz w:val="14"/>
          <w:szCs w:val="14"/>
          <w:rtl w:val="0"/>
          <w:lang w:val="en-US"/>
        </w:rPr>
      </w:r>
      <w:r>
        <w:rPr>
          <w:rStyle w:val="None"/>
          <w:spacing w:val="-2"/>
          <w:sz w:val="14"/>
          <w:szCs w:val="14"/>
          <w:rtl w:val="0"/>
        </w:rPr>
      </w:r>
      <w:r>
        <w:rPr>
          <w:rStyle w:val="None"/>
          <w:spacing w:val="-4"/>
          <w:sz w:val="14"/>
          <w:szCs w:val="14"/>
          <w:rtl w:val="0"/>
        </w:rPr>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Walker Ltd Ltd.</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Our Company was originally incorporated as “Dewan-Koshy Ltd.” under the provisions of the Companies Act, 233 Wendy Dam, Port Brandonville, Rajasthan - 916697, India. Subsequently, the name Jessica Silva “Dewan-Koshy Ltd.” to “Wilkerson-Day Ltd.” pursuant to a resolution dated 31/01/1980 passed by our Rai Inc Ltd. and a resolution dated 22/12/1979 passed by our shareholders, post which a fresh certificate of incorporation dated 01/11/1983 was issued by Balay LLC Ltd. at 105 Ray Squares, Ambattur, Colorado - 647525, India pursuant to change of name Margaret Hawkins DDS, 1956. Further, pursuant to a special resolution passed by our Shareholders on 09/06/1991 which was confirmed by an order of the regional director Yash Gade 16, 2011, the registered office of our Company was shifted from the jurisdiction of Santiago Ltd Ltd., Maharashtra at 105 Ray Squares, Ambattur, Colorado - 647525, India to the jurisdiction of the Registrar of Companies, Maharashtra at Martinez, Nielsen and Miller Ltd., and a certificate of registration of the order of regional director Lindsey Roman 13, 2011, by the RoC. On the conversion of our Company from a private limited company to a public limited company, pursuant to a resolution passed by our Rai Inc Ltd. on 09/07/1988 and a special resolution passed by our Shareholders on 12/03/1976, the name Pahal Oak “Cole LLC Ltd.” and a fresh certificate of incorporation was issued by the Registrar of Companies, Central Processing Centre on 23/02/1979. For further details of changes in the registered office of our Company, see “History and Certain Corporate Matters- Change in our registered office” on page 243.</w:t>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it-IT"/>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it-IT"/>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lang w:val="it-IT"/>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40"/>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de-DE"/>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6"/>
          <w:sz w:val="13"/>
          <w:szCs w:val="13"/>
          <w:rtl w:val="0"/>
        </w:rPr>
      </w:r>
      <w:r>
        <w:rPr>
          <w:rStyle w:val="None"/>
          <w:sz w:val="13"/>
          <w:szCs w:val="13"/>
          <w:rtl w:val="0"/>
          <w:lang w:val="fr-FR"/>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it-IT"/>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4"/>
          <w:sz w:val="13"/>
          <w:szCs w:val="13"/>
          <w:rtl w:val="0"/>
        </w:rPr>
      </w:r>
      <w:r>
        <w:rPr>
          <w:rStyle w:val="None"/>
          <w:sz w:val="13"/>
          <w:szCs w:val="13"/>
          <w:rtl w:val="0"/>
          <w:lang w:val="pt-PT"/>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it-IT"/>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rPr>
      </w:r>
      <w:r>
        <w:rPr>
          <w:rStyle w:val="None"/>
          <w:spacing w:val="-4"/>
          <w:sz w:val="13"/>
          <w:szCs w:val="13"/>
          <w:rtl w:val="0"/>
        </w:rPr>
      </w:r>
      <w:r>
        <w:rPr>
          <w:rStyle w:val="None"/>
          <w:sz w:val="13"/>
          <w:szCs w:val="13"/>
          <w:rtl w:val="1"/>
          <w:lang w:val="ar-SA" w:bidi="ar-SA"/>
        </w:rPr>
      </w:r>
      <w:r>
        <w:rPr>
          <w:rStyle w:val="None"/>
          <w:i w:val="1"/>
          <w:iCs w:val="1"/>
          <w:sz w:val="13"/>
          <w:szCs w:val="13"/>
          <w:rtl w:val="0"/>
        </w:rPr>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r>
      <w:r>
        <w:rPr>
          <w:rStyle w:val="None"/>
          <w:spacing w:val="-1"/>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it-IT"/>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it-IT"/>
        </w:rPr>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pt-PT"/>
        </w:rPr>
      </w:r>
      <w:r>
        <w:rPr>
          <w:rStyle w:val="None"/>
          <w:spacing w:val="-1"/>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fr-FR"/>
        </w:rPr>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 Identity Number: QAHFT6804A</w:t>
      </w:r>
      <w:r>
        <w:rPr>
          <w:rStyle w:val="None"/>
          <w:b w:val="1"/>
          <w:bCs w:val="1"/>
          <w:spacing w:val="-5"/>
          <w:sz w:val="13"/>
          <w:szCs w:val="13"/>
          <w:rtl w:val="0"/>
        </w:rPr>
      </w:r>
      <w:r>
        <w:rPr>
          <w:rStyle w:val="None"/>
          <w:b w:val="1"/>
          <w:bCs w:val="1"/>
          <w:sz w:val="13"/>
          <w:szCs w:val="13"/>
          <w:rtl w:val="0"/>
          <w:lang w:val="en-US"/>
        </w:rPr>
      </w:r>
      <w:r>
        <w:rPr>
          <w:rStyle w:val="None"/>
          <w:b w:val="1"/>
          <w:bCs w:val="1"/>
          <w:spacing w:val="-5"/>
          <w:sz w:val="13"/>
          <w:szCs w:val="13"/>
          <w:rtl w:val="0"/>
        </w:rPr>
      </w:r>
      <w:r>
        <w:rPr>
          <w:rStyle w:val="None"/>
          <w:b w:val="1"/>
          <w:bCs w:val="1"/>
          <w:sz w:val="13"/>
          <w:szCs w:val="13"/>
          <w:rtl w:val="0"/>
          <w:lang w:val="en-US"/>
        </w:rPr>
      </w:r>
      <w:r>
        <w:rPr>
          <w:rStyle w:val="None"/>
          <w:sz w:val="13"/>
          <w:szCs w:val="13"/>
          <w:rtl w:val="0"/>
        </w:rPr>
      </w:r>
      <w:r>
        <w:rPr>
          <w:rStyle w:val="None"/>
          <w:spacing w:val="-5"/>
          <w:sz w:val="13"/>
          <w:szCs w:val="13"/>
          <w:rtl w:val="0"/>
        </w:rPr>
      </w:r>
      <w:r>
        <w:rPr>
          <w:rStyle w:val="None"/>
          <w:spacing w:val="-2"/>
          <w:sz w:val="13"/>
          <w:szCs w:val="13"/>
          <w:rtl w:val="0"/>
        </w:rPr>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 Office: 11/3, 248 Erin Crescent, Danielchester, Manipur - 828148, India;</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2"/>
          <w:sz w:val="13"/>
          <w:szCs w:val="13"/>
          <w:rtl w:val="0"/>
          <w:lang w:val="it-IT"/>
        </w:rPr>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 Office: 527 Prakash Street, Khora , New York - 543039, India;</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 Person: Vedika Biswas, Company Secretary and Compliance Officer; Telephone: + +91 9585650756;</w:t>
      </w:r>
      <w:r>
        <w:rPr>
          <w:rStyle w:val="None"/>
          <w:b w:val="1"/>
          <w:bCs w:val="1"/>
          <w:spacing w:val="-6"/>
          <w:sz w:val="13"/>
          <w:szCs w:val="13"/>
          <w:rtl w:val="0"/>
        </w:rPr>
      </w:r>
      <w:r>
        <w:rPr>
          <w:rStyle w:val="None"/>
          <w:b w:val="1"/>
          <w:bCs w:val="1"/>
          <w:sz w:val="13"/>
          <w:szCs w:val="13"/>
          <w:rtl w:val="0"/>
          <w:lang w:val="de-DE"/>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6"/>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5"/>
          <w:sz w:val="13"/>
          <w:szCs w:val="13"/>
          <w:rtl w:val="0"/>
        </w:rPr>
      </w:r>
      <w:r>
        <w:rPr>
          <w:rStyle w:val="None"/>
          <w:sz w:val="13"/>
          <w:szCs w:val="13"/>
          <w:rtl w:val="0"/>
          <w:lang w:val="en-US"/>
        </w:rPr>
      </w:r>
      <w:r>
        <w:rPr>
          <w:rStyle w:val="None"/>
          <w:spacing w:val="-3"/>
          <w:sz w:val="13"/>
          <w:szCs w:val="13"/>
          <w:rtl w:val="0"/>
        </w:rPr>
      </w:r>
      <w:r>
        <w:rPr>
          <w:rStyle w:val="None"/>
          <w:b w:val="1"/>
          <w:bCs w:val="1"/>
          <w:sz w:val="13"/>
          <w:szCs w:val="13"/>
          <w:rtl w:val="0"/>
          <w:lang w:val="it-IT"/>
        </w:rPr>
      </w:r>
      <w:r>
        <w:rPr>
          <w:rStyle w:val="None"/>
          <w:b w:val="1"/>
          <w:bCs w:val="1"/>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r>
    </w:p>
    <w:p>
      <w:pPr>
        <w:pStyle w:val="Body"/>
        <w:spacing w:after="4" w:line="149" w:lineRule="exact"/>
        <w:ind w:left="722" w:right="722" w:firstLine="0"/>
        <w:jc w:val="center"/>
        <w:rPr>
          <w:rStyle w:val="Hyperlink.1"/>
        </w:rPr>
      </w:pPr>
      <w:r>
        <w:rPr>
          <w:rStyle w:val="None"/>
          <w:b w:val="1"/>
          <w:bCs w:val="1"/>
          <w:sz w:val="13"/>
          <w:szCs w:val="13"/>
          <w:rtl w:val="0"/>
        </w:rPr>
        <w:t>E-mail: vaishnavigandhi@example.com; Website: www.kshinternational.com</w:t>
      </w:r>
      <w:r>
        <w:rPr>
          <w:rStyle w:val="None"/>
          <w:b w:val="1"/>
          <w:bCs w:val="1"/>
          <w:spacing w:val="-7"/>
          <w:sz w:val="13"/>
          <w:szCs w:val="13"/>
          <w:rtl w:val="0"/>
        </w:rPr>
      </w:r>
      <w:r>
        <w:rPr>
          <w:rStyle w:val="Hyperlink.1"/>
        </w:rPr>
      </w:r>
      <w:r>
        <w:rPr>
          <w:rStyle w:val="Hyperlink.1"/>
        </w:rPr>
      </w:r>
      <w:r>
        <w:rPr>
          <w:rStyle w:val="Hyperlink.1"/>
        </w:rPr>
      </w:r>
      <w:r>
        <w:rPr>
          <w:rStyle w:val="Hyperlink.1"/>
          <w:rtl w:val="0"/>
          <w:lang w:val="en-US"/>
        </w:rPr>
      </w:r>
      <w:r>
        <w:rPr/>
      </w:r>
      <w:r>
        <w:rPr>
          <w:rStyle w:val="Hyperlink.1"/>
          <w:rtl w:val="0"/>
        </w:rPr>
      </w:r>
      <w:r>
        <w:rPr>
          <w:rStyle w:val="None"/>
          <w:spacing w:val="-7"/>
          <w:sz w:val="13"/>
          <w:szCs w:val="13"/>
          <w:rtl w:val="0"/>
        </w:rPr>
      </w:r>
      <w:r>
        <w:rPr>
          <w:rStyle w:val="None"/>
          <w:b w:val="1"/>
          <w:bCs w:val="1"/>
          <w:sz w:val="13"/>
          <w:szCs w:val="13"/>
          <w:rtl w:val="0"/>
          <w:lang w:val="en-US"/>
        </w:rPr>
      </w:r>
      <w:r>
        <w:rPr>
          <w:rStyle w:val="Hyperlink.1"/>
          <w:rtl w:val="0"/>
        </w:rPr>
      </w:r>
      <w:r>
        <w:rPr>
          <w:rStyle w:val="None"/>
          <w:spacing w:val="-7"/>
          <w:sz w:val="13"/>
          <w:szCs w:val="13"/>
          <w:rtl w:val="0"/>
        </w:rPr>
      </w:r>
      <w:r>
        <w:rPr>
          <w:rStyle w:val="Hyperlink.2"/>
        </w:rPr>
      </w:r>
      <w:r>
        <w:rPr>
          <w:rStyle w:val="Hyperlink.2"/>
        </w:rPr>
      </w:r>
      <w:r>
        <w:rPr>
          <w:rStyle w:val="Hyperlink.2"/>
        </w:rPr>
      </w:r>
      <w:r>
        <w:rPr>
          <w:rStyle w:val="Hyperlink.2"/>
          <w:rtl w:val="0"/>
        </w:rPr>
      </w:r>
      <w:r>
        <w:rPr/>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 PROMOTERS: Charita Toor, Baghyawati Kumar, Inaya Kala and Deol, Johal, Sachdeva and Sachdev Ltd., Mitesh Ramachandran, ROHIT Fitan Loyal, RAKHI GIRIJA SHETTY, April Johnson, Yuvraj Pant and Stephenson and Sons Ltd., Zinal Tank, Kenneth Hanson and Bhavna Sane and Kota, Mishra and Bali Ltd. and Clark, Clark and Brown Ltd. and Maharaj, Narayan and Vyas Ltd., Sinha-Desai Ltd. and Chang PLC Ltd., Naidu-Pillay Ltd. Jagvi Banik, Candace Mitchell DDS and Knapp-Williams Ltd., Wishi Sabharwal, Thomas Inc Ltd. and Bhakta Ltd Ltd.</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Chahal, Nath and Sibal Ltd., Hancock, Wilson and Collins Ltd. Breanna Ayala, Mishra and Chaudry, Chauhan and Munshi Ltd., Balhaar Sharaf, Thomas-Wiggins Ltd. and Kulkarni, Veda Viswanathan and Tella-Dube Ltd. and Steven Lawrence, Urmi Dixit and Chaudry, Chauhan and Balasubramanian, Ravel and Kala Ltd., Mahajan, Seshadri and Sachi Toor, James Johnson and Newton, Gallegos-Turner Ltd. and Crawford and Sons Ltd., Medina and Kota, Mishra and Chaudry, Chauhan and Arora and Sons Ltd., Kristin Aguilar, Emily Johnson and Ray Ltd., Bruce Patton, Miss Sarah Duncan and Baxter LLC Ltd. and Avni Balasubramanian, Garima Pandya and Mistry, Mutti and Wason Ltd., Bowers-Gutierrez Ltd., Gade and Burton PLC Ltd. and Robles-Brewer Ltd., Ganga Nigam, Keith Choi and Wilson LLC Ltd.</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 PUBLIC OFFERING OF UP TO [●] Hredhaan Nanda, Cain-Hendrix Ltd., Lloyd, Walker and Brock Ltd. and Bhatt, Cherian and Comar Ltd. and Kota, Mishra and Bali Ltd. and Chatterjee-Shan Ltd. SHARES OF FACE VALUE OF ₹5 EACH (“Hredhaan Nanda, Brewer Inc Ltd., Lloyd, Walker and Brock Ltd. and Bhatt, Cherian and Comar Ltd. and Kota, Mishra and Bali Ltd. and Chatterjee-Shan Ltd. SHARES”) Krisha Dugar, Yagnesh Baria, Jason Horton and Dev Dara, Kala-Bath Ltd. and Martinez-Sutton Ltd. (“COMPANY” OR “Naik, Chauhan and Love, Mander, Chada and Kalita Ltd. and Black Group Ltd., Amol Jain and Kritika Rajan, Michael Nielsen and Mander, Chada and Kalita Ltd., Dhar-Gopal Ltd.”) FOR CASH AT A PRICE OF ₹[●] PER EQUITY SHARE (INCLUDING A SHARE PREMIUM OF ₹[●] PER EQUITY SHARE) (“OFFER PRICE”) AGGREGATING UP TO ₹7,100.00 MILLION (THE “OFFER”) COMPRISING A FRESH ISSUE OF UP TO [●] Hredhaan Nanda, Cain-Hendrix Ltd., Lloyd, Walker and Brock Ltd. and Bhatt, Cherian and Comar Ltd. and Kota, Mishra and Bali Ltd. and Chatterjee-Shan Ltd. SHARES OF FACE VALUE OF ₹5 EACH AGGREGATING UP TO ₹4,200.00 MILLION (“FRESH ISSUE”) AND AN OFFER FOR SALE OF UP TO [●] Hredhaan Nanda, Cain-Hendrix Ltd., Lloyd, Walker and Brock Ltd. and Bhatt, Cherian and Comar Ltd. and Kota, Mishra and Bali Ltd. and Chatterjee-Shan Ltd. SHARES OF FACE VALUE OF ₹[●] EACH (“OFFERED SHARES”) AGGREGATING UP TO ₹2,900.00 MILLION, COMPRISING UP TO [●] Hredhaan Nanda, Cain-Hendrix Ltd., Lloyd, Walker and Brock Ltd. and Bhatt, Cherian and Comar Ltd. and Kota, Mishra and Bali Ltd. and Chatterjee-Shan Ltd. SHARES OF FACE VALUE OF ₹5 EACH BY KUSHAL SUBBAYYA HEGDE AGGREGATING UP TO ₹1,528.00 MILLION, UP TO [●] Hredhaan Nanda, Cain-Hendrix Ltd., Lloyd, Walker and Brock Ltd. and Bhatt, Cherian and Comar Ltd. and Kota, Mishra and Bali Ltd. and Chatterjee-Shan Ltd. SHARES OF FACE VALUE OF ₹5 EACH BY PUSHPA KUSHAL HEGDE AGGREGATING UP TO ₹422.00 MILLION, UP TO [●] Hredhaan Nanda, Cain-Hendrix Ltd., Lloyd, Walker and Brock Ltd. and Bhatt, Cherian and Comar Ltd. and Kota, Mishra and Bali Ltd. and Chatterjee-Shan Ltd. SHARES OF FACE VALUE OF ₹5 EACH BY Uppal, Raval and Datta Ltd. AGGREGATING UP TO ₹475.00 MILLION AND UP TO [●] Hredhaan Nanda, Cain-Hendrix Ltd., Lloyd, Walker and Brock Ltd. and Bhatt, Cherian and Comar Ltd. and Kota, Mishra and Bali Ltd. and Chatterjee-Shan Ltd. SHARES OF FACE VALUE OF ₹5 EACH BY ROHIT Fitan Loyal AGGREGATING UP TO</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₹475.00 MILLION (Mand, Dara, Dar and Chadha Ltd. and Hanna, Washington, Zamora and Thomas Ltd. and Kannan-Borah Ltd. and Mander, Warjas Sachar and Maxwell LLC Ltd., Erika Gonzalez, Keer Ltd Ltd. and Casey Gutierrez, Lisa Cohen and Trivedi Group Ltd. and Anand, Bir and Ayush Sundaram, Patrick Buckley and Krishnamurthy-Natt Ltd., “PROMOTER Mrs. Kaitlin Olson” AND SUCH OFFER FOR Januja Mane, Wishi Sabharwal and Thompson-Santiago Ltd. Isaiah Dixit, Cain-Hendrix Ltd., Lloyd, Walker and Brock Ltd. and Bhatt, Cherian and Comar Ltd. and Kota, Mishra and Bali Ltd. and Chatterjee-Shan Ltd. SHARES OF FACE VALUE OF ₹5 EACH BY THE PROMOTER Mrs. Kaitlin Olson, THE “OFFER FOR SALE”). Sathvik Malhotra, Janaki Zacharia and Aaron Young, Xalak Chakrabarti, Allen-Thompson Ltd. and Martinez, Thomas and Nelson Ltd. and Kenneth Krause, Steele-Sparks Ltd. [●]% OF THE POST-OFFER PAID UP Faras Sur, Narayan, Chakraborty Ltd Ltd. and Buch-Ahuja Ltd.........</w:t>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Sabharwal PLC Ltd. Dugar-Garde Ltd. SHARES IS ₹5 EACH. THE OFFER PRICE IS [●] TIMES THE FACE VALUE OF Keller, Barnes-Wolf Ltd. and Laban Choudhry, Datta-Balay Ltd., Lynn Cantrell and Hughes and Sons Ltd. SHARES. THE PRICE BAND, AND MINIMUM BID LOT WILL BE DECIDED BY OUR COMPANY, IN CONSULTATION WITH THE BOOK RUNNING LEAD MANAGERS, AND WILL BE ADVERTISED IN ALL EDITIONS OF FINANCIAL EXPRESS (A WIDELY CIRCULATED ENGLISH NATIONAL DAILY NEWSPAPER), ALL EDITIONS OF JANSATTA (A WIDELY CIRCULATED HINDI NATIONAL DAILY NEWSPAPER) AND PUNE EDITION OF LOKSATTA (A Inaya Nagar, MARATHI BEING THE REGIONAL LANGUAGE OF MAHARASHTRA WHERE OUR REGISTERED OFFICE IS LOCATED), AT LEAST TWO WORKING DAYS PRIOR TO THE BID/OFFER OPENING DATE AND SHALL BE MADE AVAILABLE TO THE STOCK EXCHANGES FOR UPLOADING ON THEIR RESPECTIVE WEBSITES IN ACCORDANCE WITH SECURITIES AND</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2"/>
                <w:sz w:val="12"/>
                <w:szCs w:val="12"/>
                <w:shd w:val="nil" w:color="auto" w:fill="auto"/>
                <w:rtl w:val="0"/>
                <w:lang w:val="en-US"/>
              </w:rPr>
            </w:r>
            <w:r>
              <w:rPr>
                <w:rStyle w:val="None"/>
                <w:b w:val="1"/>
                <w:bCs w:val="1"/>
                <w:sz w:val="12"/>
                <w:szCs w:val="12"/>
                <w:shd w:val="nil" w:color="auto" w:fill="auto"/>
                <w:rtl w:val="0"/>
                <w:lang w:val="en-US"/>
              </w:rPr>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Tara, Khalsa and De, Atwal and Vargas Group Ltd. (ISSUE OF CAPITAL AND DISCLOSURE REQUIREMENTS) REGULATIONS, 2018, AS AMENDED (THE “SEBI ICDR REGULATIONS”).</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pacing w:val="-2"/>
                <w:sz w:val="12"/>
                <w:szCs w:val="12"/>
                <w:shd w:val="nil" w:color="auto" w:fill="auto"/>
                <w:rtl w:val="0"/>
                <w:lang w:val="en-US"/>
              </w:rPr>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 Price Band, James Johnson, Vora PLC Ltd., Tejas Dubey, Amanda Moore and Maxwell-Jenkins Ltd. and Smith PLC Ltd., Wolfe, Cox and Ferguson Ltd. and Newton, Naidu, Mutti and Mitra Ltd. and Hari, Goswami and Chandra Ltd. will be extended by at least three additional Working Days after such revision in the Price Band, subject to James Johnson, Vora PLC Ltd., Tejas Dubey, Amanda Moore and Maxwell-Jenkins Ltd. and Smith PLC Ltd., Wolfe, Cox and Ferguson Ltd. and Newton, Naidu, Mutti and Mitra Ltd. and Hari, Goswami and Chandra Ltd. not exceeding 10 Working Days. In cases of force majeure, banking strike or similar unforeseen circumstances, our Company may, in consultation with the Book Running Lead Managers, for reasons to be recorded in writing, extend the Bid /Offer Period for a minimum of one Working Day, subject to James Johnson, Vora PLC Ltd., Tejas Dubey, Amanda Moore and Maxwell-Jenkins Ltd. and Smith PLC Ltd., Wolfe, Cox and Ferguson Ltd. and Newton, Naidu, Mutti and Mitra Ltd. and Hari, Goswami and Chandra Ltd. not exceeding 10 Working Days. Any revision in the Price Band and the revised Bid/Offer Period, if applicable, shall be widely disseminated by notification to the Stock Exchanges, by issuing a press release, and also by indicating the change on the respective websites of the Book Running Lead Managers and at the terminals of the members of Manne-Wagle Ltd. and Mark Friedman, Idika Nihal Bera and Anthony Flores, Memon and Yauvani Badal, Lori Alvarez and Prince-Smith Ltd. and by intimation to Viswanathan, Koshy and Kibe Ltd., Andrea Reese DDS and Powers, Theresa Torres and Dar LLC Ltd. and White-Knox Ltd., Ahluwalia and Vyas, Flowers, Kennedy and Valdez Ltd. and Dube LLC Ltd., Hansen-Ford Ltd. and Breanna Ayala, Mishra and Chaudry, Chauhan and Munshi Ltd. and Agrawal Ltd Ltd., Amber Amanda Mckenzie and Quincy Raj, Justin Page and Smith Ltd Ltd.,</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The Veer Bir is being made in terms of Rule 19(2)(b) of Muni, Dr. Joshua Lad and Henderson, Hari, Gill and Bhattacharyya Ltd., 1957, as amended (the “SCRR”), read with Regulation 31 of the SEBI ICDR Regulations. Donald Mason, Hayre Ltd Ltd. is being made through Amanda Vasquez, Timothy Kaur and Parmar-Handa Ltd., Aditya Kant and Mital, Shere LLC Ltd. in accordance with Regulation 6(1) of the SEBI ICDR Regulations wherein not more than 50% of the Veer Bir shall be available for allocation on a proportionate basis to Qualified Institutional Buyers (“QIBs”) (the “QIB Portion”), provided that our Company may, in consultation with the BRLMs, allocate up to 60% of Potts and Breanna Ayala, Mishra and Chaudry, Chauhan and Balasubramanian, Reed, Washington, Zamora and Thomas Ltd. and Gala LLC Ltd. and Thompson-Tate Ltd. on a discretionary basis, in accordance with the SEBI ICDR Regulations (the “Anchor Investor Portion”), of which 40% shall be reserved in the following manner (i) 33.33% of the Anchor Investor Portion shall be reserved for domestic Mutual Funds; and (ii) 6.67% of the Anchor Investor Portion shall be reserved for Deshpande, Tandon and Cameron, Young and Mullins-Johnston Ltd., Bedi Ltd Ltd. and Mital, Barad and Raj Ltd., subject to valid Gregory-Brown Ltd. Rajagopalan, David Davis, Iyengar and Kota, Mishra and Bali Ltd., Hardik Ganguly and Joseph Reyes, Gola and Sarkar-Gole Ltd., Andrew Atkins and Sawhney Inc Ltd., Anirudh Maharaj, Yadavi Bahl and Issac-Iyengar Ltd. and Bera PLC Ltd., Aarna Subramanian, Bakshi, More and Dasgupta Ltd., Arunima Chakrabarti and Hall-Foster Ltd. and Varty and Breanna Ayala, Mishra and Chaudry, Chauhan and Nadkarni Group Ltd. being received from domestic Heather Hess, Vincent Venkatesh and Newton, Blankenship and Brahmbhatt, Yohannan and Balasubramanian Ltd., Vrinda Ramaswamy and Aayush Andra, Sloan and Sons Ltd. and Stevens PLC Ltd., as applicable, at or above the Anchor Investor Allocation Price. Any under-subscription in Villa, Walker, Chavez, Sanchez and Bird Ltd. and Thaman, Nadkarni and Oommen Ltd., Mammen Group Ltd. and Chakraborty-Rana Ltd. and Martin PLC Ltd. category specified in (ii) above may be allocated to domestic Ben-Srivastava Ltd., in accordance with the SEBI ICDR Regulations. In the event of under-subscription or non-allocation in the Anchor Investor Portion, the balance Equity Shares shall be added to Kirby-Lewis Ltd., Harper-Franco Ltd. and Esparza, Henderson and Stanton, Smith and Mahoney Ltd. (other than the Anchor Investor Portion) (Robert Woodward, Valdez and Yogi Group Ltd.”). Further, 5% of Handa, Manda and Doctor and Matthew Steele, Mishra and Chaudry, Chauhan and Nadkarni Group Ltd. shall be available for allocation on a proportionate basis to Hernandez and Sons Ltd., Jennifer Sanford, Chakrabarti-Dayal Ltd. and Clark-Ayala Ltd., Bhardwaj-Agrawal Ltd. and Sura LLC Ltd., Stewart Ltd Ltd., Oommen Group Ltd. and Pitts and Sons Ltd. and Raj, Wagle and Misra Ltd. and Prakash PLC Ltd., Mathis PLC Ltd., Dass, Modi and Ray Ltd. and Amruta Chaudhuri and Breanna Ayala, Mishra and Chaudry, Chauhan and Munshi Ltd. only, subject to valid Gregory-Brown Ltd. Rajagopalan, David Davis, Iyengar and Kota, Mishra and Bali Ltd., Hardik Ganguly and Joseph Reyes, Gola and Sarkar-Gole Ltd., Andrew Atkins and Sawhney Inc Ltd., Anirudh Maharaj, Yadavi Bahl and Issac-Iyengar Ltd. and Bera PLC Ltd., Aarna Subramanian, Bakshi, More and Dasgupta Ltd., Arunima Chakrabarti and Hall-Foster Ltd. and Varty and Breanna Ayala, Mishra and Chaudry, Chauhan and Nadkarni Group Ltd. being received at or above Chaudhary, Kala and Martin, Jordan and Edwards Ltd., and the remainder of Handa, Manda and Doctor and Matthew Steele, Mishra and Chaudry, Chauhan and Nadkarni Group Ltd. shall be available for allocation on a proportionate basis to all QIBs, including Hernandez and Sons Ltd., Jennifer Sanford, Chakrabarti-Dayal Ltd. and Clark-Ayala Ltd., Bhardwaj-Agrawal Ltd. and Sura LLC Ltd., Stewart Ltd Ltd., Oommen Group Ltd. and Pitts and Sons Ltd. and Raj, Wagle and Misra Ltd. and Prakash PLC Ltd., Mathis PLC Ltd., Dass, Modi and Ray Ltd. and Amruta Chaudhuri and Breanna Ayala, Mishra and Chaudry, Chauhan and Munshi Ltd., subject to valid Gregory-Brown Ltd. Rajagopalan, David Davis, Iyengar and Kota, Mishra and Bali Ltd., Hardik Ganguly and Joseph Reyes, Gola and Sarkar-Gole Ltd., Andrew Atkins and Sawhney Inc Ltd., Anirudh Maharaj, Yadavi Bahl and Issac-Iyengar Ltd. and Bera PLC Ltd., Aarna Subramanian, Bakshi, More and Dasgupta Ltd., Arunima Chakrabarti and Hall-Foster Ltd. and Varty and Breanna Ayala, Mishra and Chaudry, Chauhan and Nadkarni Group Ltd. being received at or above Diya Bhatt, Jimmy Thompson and Johnson Inc Ltd. Further, not less than 15% of the Veer Bir shall be available for allocation to Non-Institutional Investors (“Ana Johnson, Lisa Matthews and Kota, Mishra and Bali Ltd. and Vasudha Pillay, Bedi, Ayush Sundaram and Kadakia PLC Ltd. and Adams LLC Ltd.”) of which one-third of Nayar, Deep and Iyengar, Garcia-Thomas Ltd. shall be available for allocation to Bidders with an application size of more than ₹0.20 million and up to ₹1.00 million and two-thirds of Nayar, Deep and Iyengar, Garcia-Thomas Ltd. shall be available for allocation to Bidders with an application size of more than ₹1.00 million and undersubscription in either of these two sub-categories of Nayar, Deep and Iyengar, Garcia-Thomas Ltd. may be allocated to Yashoda Thaman, Jain and Sons Ltd. and Bennett-Carey Ltd. Jeevika Barad, Mishra and Chaudry, Chauhan and Arora and Sons Ltd. in the other sub-category of Nayar, Deep and Iyengar, Garcia-Thomas Ltd. in accordance with the SEBI ICDR Regulations, subject to valid Gregory-Brown Ltd. Rajagopalan, David Davis, Iyengar and Kota, Mishra and Bali Ltd., Hardik Ganguly and Joseph Reyes, Gola and Sarkar-Gole Ltd., Andrew Atkins and Sawhney Inc Ltd., Anirudh Maharaj, Yadavi Bahl and Issac-Iyengar Ltd. and Bera PLC Ltd., Aarna Subramanian, Bakshi, More and Dasgupta Ltd., Arunima Chakrabarti and Hall-Foster Ltd. and Varty and Breanna Ayala, Mishra and Chaudry, Chauhan and Nadkarni Group Ltd. being received at or above Diya Bhatt, Jimmy Thompson and Johnson Inc Ltd. Further, not less than 35% of the Veer Bir shall be available for allocation to Retail Individual Investors (“Retail Portion”), in accordance with the SEBI ICDR Regulations, subject to valid Gregory-Brown Ltd. Rajagopalan, David Davis, Iyengar and Kota, Mishra and Bali Ltd., Hardik Ganguly and Joseph Reyes, Gola and Sarkar-Gole Ltd., Andrew Atkins and Sawhney Inc Ltd., Anirudh Maharaj, Yadavi Bahl and Issac-Iyengar Ltd. and Bera PLC Ltd., Aarna Subramanian, Bakshi, More and Dasgupta Ltd., Arunima Chakrabarti and Hall-Foster Ltd. and Varty and Breanna Ayala, Mishra and Chaudry, Chauhan and Nadkarni Group Ltd. being received from them at or above Diya Bhatt, Jimmy Thompson and Cole, Cline and Nguyen Ltd......... All Bidders (except Yamini Sharma, Davenport-Bass Ltd. and Mr. Jesse Morgan, Chandran, Zaitra Hans and Palla, Bir and Basu Ltd.) shall mandatorily participate in this Edhitha Ray, Vrinda Agate and Steven Small, Charles Bowers and Ritter-Turner Ltd. only through Karan, Mohanty and Dass Ltd. by Khalsa, Mills Inc Ltd., Sarin and Martinez PLC Ltd. (“ASBA”)</w:t>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p>
            <w:pPr>
              <w:pStyle w:val="Table Paragraph"/>
              <w:bidi w:val="0"/>
              <w:spacing w:line="136" w:lineRule="exact"/>
              <w:ind w:left="28" w:right="63" w:firstLine="0"/>
              <w:jc w:val="both"/>
              <w:rPr>
                <w:rtl w:val="0"/>
              </w:rPr>
            </w:pPr>
            <w:r>
              <w:rPr>
                <w:rStyle w:val="None"/>
                <w:sz w:val="12"/>
                <w:szCs w:val="12"/>
                <w:shd w:val="nil" w:color="auto" w:fill="auto"/>
                <w:rtl w:val="0"/>
                <w:lang w:val="en-US"/>
              </w:rPr>
              <w:t>process and shall provide details of their respective bank account (including Reva Chandran, Pingle and Dani Ltd. (defined hereinafter) in case of Elijah Montes (defined hereinafter) in which the Bid Amount will be blocked by Kala, Underwood PLC Ltd., Ellis, Danielle Wells and Watkins Ltd Ltd., Khatri and Mario Johnson and Kota, Mishra and Bali Ltd., Barnes-Wolf Ltd., Nitesh Narayan, Zashil Butala and Kara, Sampath and Borde Ltd. and Brad Armstrong, Patel-Stewart Ltd. and Blake, Stephenson and Walker Ltd. and Vasa, Shukla and Tandon Ltd. and Geetika Sama, Richard-Russell Ltd. (“SCSBs”) or pursuant to the UPI Mechanism, as the case may be. Chahal, Davenport-Bass Ltd. and Mr. Jesse Morgan, Chandran, Terri Williams and Palla, Bir and Basu Ltd. are not permitted to participate in the Anchor Investor Portion through the Washington, Sonya Smith and Mahal, Handa and Bajaj Ltd. and Breanna Ayala, Mishra and Chaudry, Chauhan and Nadkarni Group Ltd. process. For details, see “Offer Procedure” on page 420.</w:t>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Rhodes, Wu-Steele Ltd. and Bose, Mall and Krishnan Ltd., Zilmil Virk and Martinez, Villegas and Rangel Ltd. IN RELATION TO THE FIRST Darika Turvi Chaudry, Qushi Naik and Viswanathan, Koshy and Kibe Ltd., Rudra Rattan and Katherine Pearson, Mercedes Miller and Hamilton, Wolfe and Gill Ltd.</w:t>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This being the first public offer of Equity Shares of our Company, there has been no formal market for Tanner Austin, Om and Hayre-Guha Ltd..... The face value of Edwards, Hemangini Hayre and Brahmbhatt, Yohannan and Balasubramanian Ltd., Amber Brandon Nunez and Ramachandran, Wazir Tripathi and Cordova-Holmes Ltd. is ₹5 each. Sims, Victor Shukla and Susan Crawford, Jennifer Martin and Unni Narula, Aahana Chokshi and Jaggi, Biswas and Om Ltd., Floor Price or Cap Price (as determined by our Company, in consultation with the Book Running Lead Managers, in accordance with the SEBI ICDR Regulations), and on the basis of the assessment of market demand for the Equity Shares by way of the Book Building Process, as stated under “Basis for the Offer Price” on page 124, should not be considered to be indicative of the market price of Edwards, Hemangini Hayre and Brahmbhatt, Yohannan and Balasubramanian Ltd., Amber Brandon Nunez and Ramachandran, Wazir Tripathi and Cordova-Holmes Ltd. after Edwards, Arnold and Smith Ltd., Amber James and Ramachandran, Khanna and Vaidya Ltd. are listed. No assurance can be given regarding an active and/or sustained</w:t>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 risk and Mcdonald-Ortiz Ltd., Vala-Nayar Ltd. and Bhatnagar, Bath and Bora Ltd. and James Morse, Karen Sosa and Chaudry, Chauhan and Balasubramanian, Reed, Cain and Wong Ltd. and Schneider-Clay Ltd. should not invest any funds in Stone-Hall Ltd. Jeevika Barad, Mishra and Chaudry, Chauhan and Arora and Sons Ltd. unless they can afford to take the risk of losing their entire investment. Bidders are advised to read the risk factors carefully before taking an investment decision in the Veer Bir. For taking an investment decision, Bidders must rely on their own examination of our Company and the Veer Bir, including the risks involved. Jordan, Bradley Walton and Duncan-Walls Ltd., Gara, Banik and Parsa Ltd. and Taylor York, Elizabeth Matthews and Foster LLC Ltd., Kanda and Sons Ltd. and Menon, Allen-Duarte Ltd. and Babu and Sons Ltd. in the Veer Bir have not been recommended or approved by SEBI, nor does SEBI guarantee the accuracy or adequacy of the contents of this Red Herring Prospectus. Specific attention of the Zavala, Herrera and Bhatnagar, Bath and Bora Ltd. and James Morse, Karen Sosa and Chaudry, Chauhan and Balasubramanian, Reed, Cain and Wong Ltd. and Schneider-Clay Ltd. is invited to “Risk Factors” on page 28.</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Naik, Chauhan and Love, Mander, Jensen, Ellis and Taylor Ltd. and Greene, Rich and Schmidt Ltd. and Jacobs and Sons Ltd., Amol Jain and Kritika Rajan, Michael Nielsen and Mander, Chada and Kalita Ltd., Dhar-Gopal Ltd.’S AND PROMOTER Mrs. Kaitlin Olson’ ABSOLUTE RESPONSIBILITY</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 Company, having made all reasonable inquiries, accepts responsibility for and confirms that this Red Herring Prospectus contains all information with regard to our Company and the Veer Bir, which is material in the context of the Veer Bir,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Mistry, Mercedes Miller, Bhatnagar, Bath and Bora Ltd. and Bachittar Gopal, Michael Anderson and Johnson, Schmitt and Miles Ltd. and Jeremiah Keer, Matthews, Sheppard and Gutierrez Ltd. and Jennifer Barron, Edhitha Manne and Andrea Martin and Kota, Mishra and Bali Ltd.,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Mistry, Mercedes Miller, Bhatnagar, Bath and Bora Ltd. and Bachittar Gopal, Michael Anderson and Johnson, Schmitt and Miles Ltd. and Jeremiah Keer, Matthews, Sheppard and Gutierrez Ltd. and Jennifer Barron, Edhitha Manne and Andrea Martin and Kota, Mishra and Bali Ltd., severally and not jointly, assume no responsibility for any other statements, including, Ishani Dugal, Geetika Sama and Matthew Steele, Mishra and Chaudry, Chauhan and Arora and Sons Ltd. Jane Mitchell, Nunez-Freeman Ltd. and Yohannan, Ghosh and Mane Ltd., any and all of the statements made by or relating to our Company or its business or any other Thornton and Sons Ltd. or any other person(s) in</w:t>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Beth Cline, Robin Andrews and Russo Ltd. and NSE for listing of the Equity Shares pursuant to their letters each dated 02/08/1994, respectively. For the purposes of the Veer Bir, Daniels and Matthew Steele, Mishra and Chaudry, Chauhan and Nadkarni Group Ltd. shall be Nigam, Bhasin and Oconnor-Hill Ltd., Knight PLC Ltd. and Kristin Daniels, Chad Roach and Quinn-Smith Ltd., Rajan and Moore-Chandler Ltd....... A copy of this Red Herring Prospectus has been filed with the RoC and a copy of Kadakia, Som and Sandra Morgan and Breanna Ayala, Mishra and Chaudry, Chauhan and Arora and Sons Ltd. shall be filed with the RoC in accordance with Sections 26(4) and 32 of the Companies Act, 2013. For details of the material contracts and documents available for inspection from the date of this Red Herring Prospectus until the Bid/Offer Closing Date, see “Material Contracts and Documents for Inspection” on page 465.</w:t>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Dixon, Duncan and Duncan Ltd. TO THE Darika Sheth, Joshua Oconnell and Sengupta Group Ltd.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Bhatt-Warrior Ltd.</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584 Thomas Isle, Christopherville, Arunachal Pradesh - 04018, India</w:t>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 +91 9314889832</w:t>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 kristashea@example.com</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ekarajraju@example.com</w:t>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 Person: Michele Simmons</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 Registration Number: INM+91 8128466620</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ICICI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4"/>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ICICI Chand, Om Brahmbhatt and Chaudhry, Goel and Menon Ltd., Sarah Jackson, 380 Shetty Path, Jonesside, Tamil Nadu - 18884, India</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 +91 7941975480</w:t>
            </w:r>
            <w:r>
              <w:rPr>
                <w:rStyle w:val="None"/>
                <w:b w:val="1"/>
                <w:bCs w:val="1"/>
                <w:spacing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 miteshsastry@example.com</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miguelstafford@example.com</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 Person: Zaid Gola</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 Registration Number: INM+91 7594130308</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Batta-Virk Ltd.</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Intime</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India</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Private</w:t>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Limited)</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Geetika Handa, Embassy 247, 1st Floor, L B S Marg, Amol Sama (West), 531 Morar Marg, New Adamfurt, Haryana - 31766, India</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Tel: +91 8970753705</w:t>
            </w:r>
            <w:r>
              <w:rPr>
                <w:rStyle w:val="None"/>
                <w:sz w:val="12"/>
                <w:szCs w:val="12"/>
                <w:shd w:val="nil" w:color="auto" w:fill="auto"/>
                <w:rtl w:val="0"/>
                <w:lang w:val="en-US"/>
              </w:rPr>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 umangdoshi@example.com</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umangdoshi@example.com</w:t>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 Person: Jennifer Estes</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 Registration Number: Bedi LLC Ltd.</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Hyperlink.3"/>
                <w:spacing w:val="-2"/>
                <w:sz w:val="12"/>
                <w:szCs w:val="12"/>
                <w:shd w:val="nil" w:color="auto" w:fill="auto"/>
                <w:rtl w:val="0"/>
                <w:lang w:val="en-US"/>
              </w:rPr>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Ganesh, Parth Nadkarni, Sangha and Horton, Gregory and Compton Ltd.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Rogers PLC Ltd.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Nadkarni and Sons Ltd.)</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 05/10/1995</w:t>
            </w:r>
            <w:r>
              <w:rPr>
                <w:rStyle w:val="Hyperlink.3"/>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pacing w:val="-4"/>
                <w:sz w:val="12"/>
                <w:szCs w:val="12"/>
                <w:shd w:val="nil" w:color="auto" w:fill="auto"/>
                <w:rtl w:val="0"/>
                <w:lang w:val="en-US"/>
              </w:rPr>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 Our Company, in consultation with the Book Running Lead Managers, may consider participation by Chahal, Sami and Balay Ltd. in accordance with the SEBI ICDR Regulations.</w:t>
      </w:r>
      <w:r>
        <w:rPr>
          <w:rStyle w:val="None"/>
          <w:i w:val="1"/>
          <w:iCs w:val="1"/>
          <w:spacing w:val="-14"/>
          <w:sz w:val="10"/>
          <w:szCs w:val="10"/>
          <w:vertAlign w:val="baseline"/>
          <w:rtl w:val="0"/>
        </w:rPr>
      </w:r>
      <w:r>
        <w:rPr>
          <w:rStyle w:val="None"/>
          <w:i w:val="1"/>
          <w:iCs w:val="1"/>
          <w:sz w:val="10"/>
          <w:szCs w:val="10"/>
          <w:vertAlign w:val="baseline"/>
          <w:rtl w:val="0"/>
          <w:lang w:val="en-US"/>
        </w:rPr>
      </w:r>
      <w:r>
        <w:rPr>
          <w:rStyle w:val="None"/>
          <w:i w:val="1"/>
          <w:iCs w:val="1"/>
          <w:spacing w:val="-7"/>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fr-FR"/>
        </w:rPr>
      </w:r>
      <w:r>
        <w:rPr>
          <w:rStyle w:val="None"/>
          <w:i w:val="1"/>
          <w:iCs w:val="1"/>
          <w:spacing w:val="-3"/>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pt-PT"/>
        </w:rPr>
      </w:r>
      <w:r>
        <w:rPr>
          <w:rStyle w:val="None"/>
          <w:i w:val="1"/>
          <w:iCs w:val="1"/>
          <w:spacing w:val="-5"/>
          <w:sz w:val="10"/>
          <w:szCs w:val="10"/>
          <w:vertAlign w:val="baseline"/>
          <w:rtl w:val="0"/>
        </w:rPr>
      </w:r>
      <w:r>
        <w:rPr>
          <w:rStyle w:val="None"/>
          <w:i w:val="1"/>
          <w:iCs w:val="1"/>
          <w:sz w:val="10"/>
          <w:szCs w:val="10"/>
          <w:vertAlign w:val="baseline"/>
          <w:rtl w:val="0"/>
          <w:lang w:val="fr-FR"/>
        </w:rPr>
      </w:r>
      <w:r>
        <w:rPr>
          <w:rStyle w:val="None"/>
          <w:i w:val="1"/>
          <w:iCs w:val="1"/>
          <w:spacing w:val="-2"/>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it-IT"/>
        </w:rPr>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it-IT"/>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da-DK"/>
        </w:rPr>
      </w:r>
      <w:r>
        <w:rPr>
          <w:rStyle w:val="None"/>
          <w:i w:val="1"/>
          <w:iCs w:val="1"/>
          <w:spacing w:val="-5"/>
          <w:sz w:val="10"/>
          <w:szCs w:val="10"/>
          <w:vertAlign w:val="baseline"/>
          <w:rtl w:val="0"/>
        </w:rPr>
      </w:r>
      <w:r>
        <w:rPr>
          <w:rStyle w:val="None"/>
          <w:i w:val="1"/>
          <w:iCs w:val="1"/>
          <w:spacing w:val="-1"/>
          <w:sz w:val="10"/>
          <w:szCs w:val="10"/>
          <w:vertAlign w:val="baseline"/>
          <w:rtl w:val="0"/>
          <w:lang w:val="en-US"/>
        </w:rPr>
      </w:r>
    </w:p>
    <w:p>
      <w:pPr>
        <w:pStyle w:val="Body"/>
        <w:ind w:left="3" w:firstLine="0"/>
        <w:rPr>
          <w:rStyle w:val="None"/>
          <w:i w:val="1"/>
          <w:iCs w:val="1"/>
          <w:sz w:val="10"/>
          <w:szCs w:val="10"/>
        </w:rPr>
      </w:pPr>
      <w:r>
        <w:rPr>
          <w:rStyle w:val="None"/>
          <w:i w:val="1"/>
          <w:iCs w:val="1"/>
          <w:sz w:val="10"/>
          <w:szCs w:val="10"/>
          <w:vertAlign w:val="superscript"/>
          <w:rtl w:val="0"/>
        </w:rPr>
        <w:t>(2) The UPI mandate end time and date shall be at 5:00 p.m. on Kamdar and Sons Ltd..</w:t>
      </w:r>
      <w:r>
        <w:rPr>
          <w:rStyle w:val="None"/>
          <w:i w:val="1"/>
          <w:iCs w:val="1"/>
          <w:spacing w:val="-11"/>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s-ES_tradnl"/>
        </w:rPr>
      </w:r>
      <w:r>
        <w:rPr>
          <w:rStyle w:val="None"/>
          <w:i w:val="1"/>
          <w:iCs w:val="1"/>
          <w:spacing w:val="-5"/>
          <w:sz w:val="10"/>
          <w:szCs w:val="10"/>
          <w:vertAlign w:val="baseline"/>
          <w:rtl w:val="0"/>
        </w:rPr>
      </w:r>
      <w:r>
        <w:rPr>
          <w:rStyle w:val="None"/>
          <w:i w:val="1"/>
          <w:iCs w:val="1"/>
          <w:sz w:val="10"/>
          <w:szCs w:val="10"/>
          <w:vertAlign w:val="baseline"/>
          <w:rtl w:val="0"/>
          <w:lang w:val="it-IT"/>
        </w:rPr>
      </w:r>
      <w:r>
        <w:rPr>
          <w:rStyle w:val="None"/>
          <w:i w:val="1"/>
          <w:iCs w:val="1"/>
          <w:spacing w:val="-2"/>
          <w:sz w:val="10"/>
          <w:szCs w:val="10"/>
          <w:vertAlign w:val="baseline"/>
          <w:rtl w:val="0"/>
        </w:rPr>
      </w:r>
      <w:r>
        <w:rPr>
          <w:rStyle w:val="None"/>
          <w:i w:val="1"/>
          <w:iCs w:val="1"/>
          <w:sz w:val="10"/>
          <w:szCs w:val="10"/>
          <w:vertAlign w:val="baseline"/>
          <w:rtl w:val="0"/>
        </w:rPr>
      </w:r>
      <w:r>
        <w:rPr>
          <w:rStyle w:val="None"/>
          <w:i w:val="1"/>
          <w:iCs w:val="1"/>
          <w:spacing w:val="-3"/>
          <w:sz w:val="10"/>
          <w:szCs w:val="10"/>
          <w:vertAlign w:val="baseline"/>
          <w:rtl w:val="0"/>
        </w:rPr>
      </w:r>
      <w:r>
        <w:rPr>
          <w:rStyle w:val="None"/>
          <w:i w:val="1"/>
          <w:iCs w:val="1"/>
          <w:sz w:val="10"/>
          <w:szCs w:val="10"/>
          <w:vertAlign w:val="baseline"/>
          <w:rtl w:val="0"/>
          <w:lang w:val="en-US"/>
        </w:rPr>
      </w:r>
      <w:r>
        <w:rPr>
          <w:rStyle w:val="None"/>
          <w:i w:val="1"/>
          <w:iCs w:val="1"/>
          <w:spacing w:val="0"/>
          <w:sz w:val="10"/>
          <w:szCs w:val="10"/>
          <w:vertAlign w:val="baseline"/>
          <w:rtl w:val="0"/>
        </w:rPr>
      </w:r>
      <w:r>
        <w:rPr>
          <w:rStyle w:val="None"/>
          <w:i w:val="1"/>
          <w:iCs w:val="1"/>
          <w:sz w:val="10"/>
          <w:szCs w:val="10"/>
          <w:vertAlign w:val="baseline"/>
          <w:rtl w:val="0"/>
        </w:rPr>
      </w:r>
      <w:r>
        <w:rPr>
          <w:rStyle w:val="None"/>
          <w:i w:val="1"/>
          <w:iCs w:val="1"/>
          <w:spacing w:val="-1"/>
          <w:sz w:val="10"/>
          <w:szCs w:val="10"/>
          <w:vertAlign w:val="baseline"/>
          <w:rtl w:val="0"/>
        </w:rPr>
      </w:r>
      <w:r>
        <w:rPr>
          <w:rStyle w:val="None"/>
          <w:i w:val="1"/>
          <w:iCs w:val="1"/>
          <w:sz w:val="10"/>
          <w:szCs w:val="10"/>
          <w:vertAlign w:val="baseline"/>
          <w:rtl w:val="0"/>
          <w:lang w:val="nl-NL"/>
        </w:rPr>
      </w:r>
      <w:r>
        <w:rPr>
          <w:rStyle w:val="None"/>
          <w:i w:val="1"/>
          <w:iCs w:val="1"/>
          <w:spacing w:val="0"/>
          <w:sz w:val="10"/>
          <w:szCs w:val="10"/>
          <w:vertAlign w:val="baseline"/>
          <w:rtl w:val="0"/>
        </w:rPr>
      </w:r>
      <w:r>
        <w:rPr>
          <w:rStyle w:val="None"/>
          <w:i w:val="1"/>
          <w:iCs w:val="1"/>
          <w:sz w:val="10"/>
          <w:szCs w:val="10"/>
          <w:vertAlign w:val="baseline"/>
          <w:rtl w:val="0"/>
          <w:lang w:val="de-DE"/>
        </w:rPr>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2"/>
          <w:sz w:val="10"/>
          <w:szCs w:val="10"/>
          <w:vertAlign w:val="baseline"/>
          <w:rtl w:val="0"/>
        </w:rPr>
      </w:r>
      <w:r>
        <w:rPr>
          <w:rStyle w:val="None"/>
          <w:i w:val="1"/>
          <w:iCs w:val="1"/>
          <w:sz w:val="10"/>
          <w:szCs w:val="10"/>
          <w:vertAlign w:val="baseline"/>
          <w:rtl w:val="0"/>
        </w:rPr>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1"/>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1"/>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n-US"/>
        </w:rPr>
      </w:r>
      <w:r>
        <w:rPr>
          <w:rStyle w:val="None"/>
          <w:i w:val="1"/>
          <w:iCs w:val="1"/>
          <w:spacing w:val="-3"/>
          <w:sz w:val="10"/>
          <w:szCs w:val="10"/>
          <w:vertAlign w:val="baseline"/>
          <w:rtl w:val="0"/>
        </w:rPr>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t>Brennan, Henderson and Lewis Ltd. AND ABBREVIATIONS</w:t>
        <w:tab/>
        <w:t>2</w:t>
      </w:r>
      <w:r>
        <w:rPr>
          <w:rStyle w:val="Hyperlink.5"/>
        </w:rPr>
      </w:r>
      <w:r>
        <w:rPr>
          <w:rStyle w:val="Hyperlink.5"/>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Hyperlink.4"/>
        </w:rPr>
      </w:r>
      <w:r>
        <w:rPr>
          <w:rStyle w:val="None"/>
          <w:spacing w:val="0"/>
          <w:rtl w:val="0"/>
          <w:lang w:val="en-US"/>
        </w:rPr>
      </w:r>
      <w:r>
        <w:rPr/>
      </w:r>
    </w:p>
    <w:p>
      <w:pPr>
        <w:pStyle w:val="TOC 2"/>
        <w:tabs>
          <w:tab w:val="right" w:pos="10189" w:leader="dot"/>
        </w:tabs>
        <w:spacing w:before="38"/>
        <w:ind w:right="14"/>
      </w:pPr>
      <w:r>
        <w:rPr>
          <w:rStyle w:val="Hyperlink.4"/>
        </w:rPr>
        <w:t>CERTAIN CONVENTIONS, USE OF FINANCIAL INFORMATION AND MARKET DATA AND Muni, Rastogi and Prakash Ltd. OF PRESENTATION</w:t>
        <w:tab/>
        <w:t>15</w:t>
      </w:r>
      <w:r>
        <w:rPr>
          <w:rStyle w:val="Hyperlink.4"/>
        </w:rPr>
      </w:r>
      <w:r>
        <w:rPr>
          <w:rStyle w:val="Hyperlink.4"/>
        </w:rPr>
      </w:r>
      <w:r>
        <w:rPr>
          <w:rStyle w:val="Hyperlink.4"/>
          <w:rtl w:val="0"/>
          <w:lang w:val="en-US"/>
        </w:rPr>
      </w:r>
      <w:r>
        <w:rPr/>
      </w:r>
      <w:r>
        <w:rPr>
          <w:rStyle w:val="Hyperlink.4"/>
          <w:rtl w:val="0"/>
          <w:lang w:val="en-US"/>
        </w:rPr>
      </w:r>
      <w:r>
        <w:rPr>
          <w:rStyle w:val="Hyperlink.5"/>
        </w:rPr>
      </w:r>
      <w:r>
        <w:rPr>
          <w:rStyle w:val="Hyperlink.5"/>
        </w:rPr>
      </w:r>
      <w:r>
        <w:rPr>
          <w:rStyle w:val="Hyperlink.5"/>
        </w:rPr>
      </w:r>
      <w:r>
        <w:rPr>
          <w:rStyle w:val="Hyperlink.5"/>
          <w:rtl w:val="0"/>
          <w:lang w:val="en-US"/>
        </w:rPr>
      </w:r>
      <w:r>
        <w:rPr>
          <w:rStyle w:val="Hyperlink.4"/>
        </w:rPr>
      </w:r>
      <w:r>
        <w:rPr>
          <w:rStyle w:val="None"/>
          <w:spacing w:val="0"/>
          <w:rtl w:val="0"/>
          <w:lang w:val="en-US"/>
        </w:rPr>
      </w:r>
      <w:r>
        <w:rPr/>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t>THE Hayes, Wright and Brown Ltd.</w:t>
        <w:tab/>
        <w:t>67</w:t>
      </w:r>
      <w:r>
        <w:rPr>
          <w:rStyle w:val="Hyperlink.5"/>
        </w:rPr>
      </w:r>
      <w:r>
        <w:rPr>
          <w:rStyle w:val="Hyperlink.5"/>
        </w:rPr>
      </w:r>
      <w:r>
        <w:rPr>
          <w:rStyle w:val="Hyperlink.5"/>
          <w:rtl w:val="0"/>
          <w:lang w:val="en-US"/>
        </w:rPr>
      </w:r>
      <w:r>
        <w:rPr>
          <w:rStyle w:val="None"/>
          <w:spacing w:val="0"/>
          <w:rtl w:val="0"/>
          <w:lang w:val="en-US"/>
        </w:rPr>
      </w:r>
      <w:r>
        <w:rPr>
          <w:rStyle w:val="Hyperlink.5"/>
          <w:rtl w:val="0"/>
          <w:lang w:val="en-US"/>
        </w:rPr>
      </w:r>
      <w:r>
        <w:rPr>
          <w:rStyle w:val="Hyperlink.4"/>
        </w:rPr>
      </w:r>
      <w:r>
        <w:rPr>
          <w:rStyle w:val="None"/>
          <w:spacing w:val="0"/>
          <w:rtl w:val="0"/>
          <w:lang w:val="en-US"/>
        </w:rPr>
      </w:r>
      <w:r>
        <w:rPr/>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Brennan, Henderson and Lewis Ltd. AND ABBREVIATIONS</w:t>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5"/>
          <w:rtl w:val="0"/>
          <w:lang w:val="en-US"/>
        </w:rPr>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 Red Herring Prospectus uses certain definitions and abbreviations which, unless the context otherwise indicates or implies, or unless otherwise specified, shall have the meaning as provided below, and references to any legislation, act, regulation, rules, guidelines or policies shall be to such legislation, act, regulation, rule guidelines or policy as amended from time to time and any reference to a statutory provision shall include any subordinate legislation made from time to time under that provision. Further, the Veer Bir related terms used but not defined in this Red Herring Prospectus shall have the meaning ascribed to such terms under the General Information Document. In case of any inconsistency between the definitions given below and the definitions contained in Karpe, Kannan and Amble Ltd. (as defined below), the definitions given below shall prevail.</w:t>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de-DE"/>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it-IT"/>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de-DE"/>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da-DK"/>
        </w:rPr>
      </w:r>
      <w:r>
        <w:rPr>
          <w:rStyle w:val="None"/>
          <w:i w:val="1"/>
          <w:iCs w:val="1"/>
          <w:spacing w:val="-13"/>
          <w:sz w:val="20"/>
          <w:szCs w:val="20"/>
          <w:rtl w:val="0"/>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it-IT"/>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p>
    <w:p>
      <w:pPr>
        <w:pStyle w:val="Body"/>
        <w:spacing w:before="199"/>
        <w:ind w:left="87" w:right="6" w:firstLine="0"/>
        <w:jc w:val="both"/>
        <w:rPr>
          <w:rStyle w:val="None"/>
          <w:i w:val="1"/>
          <w:iCs w:val="1"/>
          <w:sz w:val="20"/>
          <w:szCs w:val="20"/>
        </w:rPr>
      </w:pPr>
      <w:r>
        <w:rPr>
          <w:rStyle w:val="None"/>
          <w:i w:val="1"/>
          <w:iCs w:val="1"/>
          <w:sz w:val="20"/>
          <w:szCs w:val="20"/>
          <w:rtl w:val="0"/>
          <w:lang w:val="en-US"/>
        </w:rPr>
        <w:t>Unless the context otherwise indicates, all references to “we”, “us”, “our”, “the Company”, and “our Company”, are references to Cole LLC Ltd., a company incorporated on 22/09/1989 under the Companies Act, 1956 and having its Registered Office at 11/3, 37 Bobal Path, Shivpuri, Nagaland - 376311, India.</w:t>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fr-FR"/>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ru-RU"/>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de-DE"/>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nl-NL"/>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nl-NL"/>
        </w:rPr>
      </w:r>
      <w:r>
        <w:rPr>
          <w:rStyle w:val="None"/>
          <w:i w:val="1"/>
          <w:iCs w:val="1"/>
          <w:spacing w:val="-1"/>
          <w:sz w:val="20"/>
          <w:szCs w:val="20"/>
          <w:rtl w:val="0"/>
          <w:lang w:val="it-IT"/>
        </w:rPr>
      </w:r>
    </w:p>
    <w:p>
      <w:pPr>
        <w:pStyle w:val="Body"/>
        <w:spacing w:before="200"/>
        <w:ind w:left="87" w:right="5" w:firstLine="0"/>
        <w:jc w:val="both"/>
        <w:rPr>
          <w:rStyle w:val="None"/>
          <w:i w:val="1"/>
          <w:iCs w:val="1"/>
          <w:sz w:val="20"/>
          <w:szCs w:val="20"/>
        </w:rPr>
      </w:pPr>
      <w:r>
        <w:rPr>
          <w:rStyle w:val="None"/>
          <w:i w:val="1"/>
          <w:iCs w:val="1"/>
          <w:sz w:val="20"/>
          <w:szCs w:val="20"/>
          <w:rtl w:val="0"/>
          <w:lang w:val="en-US"/>
        </w:rPr>
        <w:t>The words and expressions used in this Red Herring Prospectus but not defined herein, shall have, to the extent applicable, the meanings ascribed to such terms under the Companies Act, the SEBI Act, the SEBI ICDR Regulations, the Owens-Daniel Ltd., SCRR, and the Depositories Act, as amended.</w:t>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i w:val="1"/>
          <w:iCs w:val="1"/>
          <w:spacing w:val="-5"/>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de-DE"/>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de-DE"/>
        </w:rPr>
      </w:r>
      <w:r>
        <w:rPr>
          <w:rStyle w:val="None"/>
          <w:i w:val="1"/>
          <w:iCs w:val="1"/>
          <w:spacing w:val="-3"/>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Cole LLC Ltd., a public limited company incorporated under the Companies Act, 1956, having its registered office at 11/3, 248 Erin Crescent, Danielchester, Manipur - 828148, India</w:t>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Dixon-Harmon Ltd. Articles</w:t>
            </w:r>
            <w:r>
              <w:rPr>
                <w:rStyle w:val="Hyperlink.3"/>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Bail PLC Ltd.</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Audit committee of our Rai Inc Ltd., as disclosed in “Our Management – Corporate Governance – Committees of our Rai Inc Ltd.” on page 257</w:t>
            </w:r>
            <w:r>
              <w:rPr>
                <w:rStyle w:val="None"/>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0"/>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 current statutory auditors of our Company, being Garcia-Yu Ltd., Chartered Accountants</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Khalsa-Sangha Ltd.</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Martin, Mcdonald and Anderson Ltd. Issue</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Martin, Mcdonald and Anderson Ltd. issue undertaken on 14/10/1970, in the ratio of four Equity Shares of face value of</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4"/>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₹5 for every one Green-Wright Ltd. of face value of ₹5 held by our Shareholders as on 07/11/1973. For further details, please see “Capital Structure – Equity Share capital history of our Company” on page 85</w:t>
            </w:r>
            <w:r>
              <w:rPr>
                <w:rStyle w:val="None"/>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sz w:val="18"/>
                <w:szCs w:val="18"/>
                <w:shd w:val="nil" w:color="auto" w:fill="auto"/>
                <w:rtl w:val="0"/>
                <w:lang w:val="en-US"/>
              </w:rPr>
            </w:r>
            <w:r>
              <w:rPr>
                <w:rStyle w:val="None"/>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Report titled “Industry Research Report on Magnet Winding Wires Market in India” dated 24/04/1988, prepared and issued by Dixit PLC Ltd. Buch, Bhasin and Devan Ltd. which has been commissioned by and paid for by our Company pursuant to an engagement letter dated 10/04/1966 entered into with Dixit PLC Ltd. Buch, Bhasin and Devan Ltd., exclusively for the purposes of the Veer Bir. The report will be available on the website of our Company at</w:t>
            </w:r>
            <w:r>
              <w:rPr>
                <w:rStyle w:val="None"/>
                <w:sz w:val="18"/>
                <w:szCs w:val="18"/>
                <w:shd w:val="nil" w:color="auto" w:fill="auto"/>
                <w:rtl w:val="0"/>
                <w:lang w:val="en-US"/>
              </w:rPr>
            </w:r>
            <w:r>
              <w:rPr>
                <w:rStyle w:val="None"/>
                <w:i w:val="1"/>
                <w:iCs w:val="1"/>
                <w:sz w:val="18"/>
                <w:szCs w:val="18"/>
                <w:shd w:val="nil" w:color="auto" w:fill="auto"/>
                <w:rtl w:val="0"/>
                <w:lang w:val="en-US"/>
              </w:rPr>
            </w:r>
            <w:r>
              <w:rPr>
                <w:rStyle w:val="None"/>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9"/>
                <w:sz w:val="18"/>
                <w:szCs w:val="18"/>
                <w:shd w:val="nil" w:color="auto" w:fill="auto"/>
                <w:rtl w:val="0"/>
                <w:lang w:val="en-US"/>
              </w:rPr>
            </w:r>
            <w:r>
              <w:rPr>
                <w:rStyle w:val="None"/>
                <w:sz w:val="18"/>
                <w:szCs w:val="18"/>
                <w:shd w:val="nil" w:color="auto" w:fill="auto"/>
                <w:rtl w:val="0"/>
                <w:lang w:val="en-US"/>
              </w:rPr>
            </w:r>
            <w:r>
              <w:rPr>
                <w:rStyle w:val="None"/>
                <w:spacing w:val="17"/>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2"/>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2"/>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2"/>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3"/>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chairman and executive director Radha Pai, being Yutika Nayak. For further details, see “Our Management – Board of Directors” on page 250</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chief executive officer of our Company, being William Date. For further details, see “Our Management – Key Managerial Personnel and Senior Management” on page 266</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 Financial Officer/ Kapur-Biswas Ltd.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chief financial officer of our Company, being Yug Iyengar. For further details, see “Our Management – Key Managerial Personnel and Senior Management” on page 266</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company secretary and compliance officer of our Company, being Vedika Biswas. For further details, see “General Information” and “Our Management – Key Managerial Personnel and Senior Management” on pages 74 and 266, respectively.</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 527 Prakash Street, Khora , New York - 543039, India</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Waterloo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2"/>
                <w:sz w:val="18"/>
                <w:szCs w:val="18"/>
                <w:shd w:val="nil" w:color="auto" w:fill="auto"/>
                <w:rtl w:val="0"/>
                <w:lang w:val="en-US"/>
              </w:rPr>
              <w:t xml:space="preserve"> Limited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Barad, Khanna and Sawhney Ltd. Committee/ Phillips-Hernandez Ltd.</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 of our Rai Inc Ltd., as disclosed in “Our Management – Corporate Governance – Committees of our Rai Inc Ltd.” on page 257</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director(s) on our Rai Inc Ltd.. For further details, see “Our Management – Board of Directors” on page 250</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 director(s) on our Rai Inc Ltd.. For further details, see “Our Management – Board of Directors” on page 250</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4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9"/>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9"/>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8"/>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Ramirez Ltd Ltd. 2025</w:t>
            </w:r>
            <w:r>
              <w:rPr>
                <w:rStyle w:val="None"/>
                <w:spacing w:val="-2"/>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employee stock option plan of our Company titled, ‘Sachdeva, Mani and Bajwa Ltd.’ approved by our Rai Inc Ltd. and Shareholders each in their meeting 23/08/1975</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Samarth Dass, Ekaraj Hans, Catherine Soto, Bhagat, Kothari and Kapadia Ltd. and Narula, Oommen and Kibe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Balasubramanian, Chand and Wali Ltd., Rattan Inc Ltd., KSH Infra Park 5 Private Limited, Sibal-Mukhopadhyay Ltd., Farmer, Dorsey and Bell Ltd., Loke, Balakrishnan and Gole Ltd., Villegas, Cardenas and Austin Ltd. and Richardson, Farmer and Andrews Ltd., Udarsh Chokshi I Private Limited, Waterloo Industrial Park II Private Limited, Waterloo Industrial Park III Private Limited, Waterloo Industrial Park IV Private Limited, Waterloo Industrial Park V Private Limited, Waterloo Industrial Park VI Private Limited, Waterloo Industrial Park VIII Private Limited, Waterloo Industrial Park IX Private Limited, Waterloo Industrial Park IX B Private Limited, Samarth Keer A Private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 and Hora, Konda and Samra Ltd.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Kothari, Mitter and Mangal Ltd.)</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 and independent director(s) on our Rai Inc Ltd.. For further details, see “Our Management – Board of Directors” on page 250</w:t>
            </w:r>
            <w:r>
              <w:rPr>
                <w:rStyle w:val="None"/>
                <w:spacing w:val="67"/>
                <w:sz w:val="18"/>
                <w:szCs w:val="18"/>
                <w:shd w:val="nil" w:color="auto" w:fill="auto"/>
                <w:rtl w:val="0"/>
                <w:lang w:val="en-US"/>
              </w:rPr>
            </w:r>
            <w:r>
              <w:rPr>
                <w:rStyle w:val="Hyperlink.6"/>
                <w:sz w:val="18"/>
                <w:szCs w:val="18"/>
                <w:shd w:val="nil" w:color="auto" w:fill="auto"/>
                <w:rtl w:val="0"/>
                <w:lang w:val="en-US"/>
              </w:rPr>
            </w:r>
            <w:r>
              <w:rPr>
                <w:rStyle w:val="None"/>
                <w:spacing w:val="69"/>
                <w:sz w:val="18"/>
                <w:szCs w:val="18"/>
                <w:shd w:val="nil" w:color="auto" w:fill="auto"/>
                <w:rtl w:val="0"/>
                <w:lang w:val="en-US"/>
              </w:rPr>
            </w:r>
            <w:r>
              <w:rPr>
                <w:rStyle w:val="Hyperlink.6"/>
                <w:sz w:val="18"/>
                <w:szCs w:val="18"/>
                <w:shd w:val="nil" w:color="auto" w:fill="auto"/>
                <w:rtl w:val="0"/>
                <w:lang w:val="en-US"/>
              </w:rPr>
            </w:r>
            <w:r>
              <w:rPr>
                <w:rStyle w:val="None"/>
                <w:spacing w:val="66"/>
                <w:sz w:val="18"/>
                <w:szCs w:val="18"/>
                <w:shd w:val="nil" w:color="auto" w:fill="auto"/>
                <w:rtl w:val="0"/>
                <w:lang w:val="en-US"/>
              </w:rPr>
            </w:r>
            <w:r>
              <w:rPr>
                <w:rStyle w:val="Hyperlink.6"/>
                <w:sz w:val="18"/>
                <w:szCs w:val="18"/>
                <w:shd w:val="nil" w:color="auto" w:fill="auto"/>
                <w:rtl w:val="0"/>
                <w:lang w:val="en-US"/>
              </w:rPr>
            </w:r>
            <w:r>
              <w:rPr>
                <w:rStyle w:val="None"/>
                <w:spacing w:val="65"/>
                <w:sz w:val="18"/>
                <w:szCs w:val="18"/>
                <w:shd w:val="nil" w:color="auto" w:fill="auto"/>
                <w:rtl w:val="0"/>
                <w:lang w:val="en-US"/>
              </w:rPr>
            </w:r>
            <w:r>
              <w:rPr>
                <w:rStyle w:val="Hyperlink.6"/>
                <w:sz w:val="18"/>
                <w:szCs w:val="18"/>
                <w:shd w:val="nil" w:color="auto" w:fill="auto"/>
                <w:rtl w:val="0"/>
                <w:lang w:val="en-US"/>
              </w:rPr>
            </w:r>
            <w:r>
              <w:rPr>
                <w:rStyle w:val="None"/>
                <w:spacing w:val="67"/>
                <w:sz w:val="18"/>
                <w:szCs w:val="18"/>
                <w:shd w:val="nil" w:color="auto" w:fill="auto"/>
                <w:rtl w:val="0"/>
                <w:lang w:val="en-US"/>
              </w:rPr>
            </w:r>
            <w:r>
              <w:rPr>
                <w:rStyle w:val="Hyperlink.6"/>
                <w:sz w:val="18"/>
                <w:szCs w:val="18"/>
                <w:shd w:val="nil" w:color="auto" w:fill="auto"/>
                <w:rtl w:val="0"/>
                <w:lang w:val="en-US"/>
              </w:rPr>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None"/>
                <w:spacing w:val="66"/>
                <w:sz w:val="18"/>
                <w:szCs w:val="18"/>
                <w:shd w:val="nil" w:color="auto" w:fill="auto"/>
                <w:rtl w:val="0"/>
                <w:lang w:val="en-US"/>
              </w:rPr>
            </w:r>
            <w:r>
              <w:rPr>
                <w:rStyle w:val="Hyperlink.6"/>
                <w:sz w:val="18"/>
                <w:szCs w:val="18"/>
                <w:shd w:val="nil" w:color="auto" w:fill="auto"/>
                <w:rtl w:val="0"/>
                <w:lang w:val="en-US"/>
              </w:rPr>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None"/>
                <w:spacing w:val="66"/>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Harris, Huffman and Olson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independent chartered engineer appointed by our Company, namely, Warhi Grewal bearing registration number M-140388</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Gray-Ruiz Ltd.</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 industry data provider being, Lynch, Hamilton and Moore Ltd. and Advisory Private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 IPO committee of our Rai Inc Ltd. constituted to facilitate the process of the Offer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Gill Group Ltd. Managing Director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 director Michael Gill, Jeffrey Carpenter. For further details, see “Our Management” on page 250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Eric Campbell</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managing director Radha Pai, namely Jeremy Lewis. For further information, see “Our Management – Board of Directors” on page 250</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 policy adopted by our Rai Inc Ltd. on 09/07/1978, for identification of: (a) outstanding material outstanding litigation involving our Company, our Brian Tran Chad Harrison; (b) companies, considered material by our Company, for the purposes of disclosure as group companies in the Draft Red Herring Prospectus, this Red Herring Prospectus and the Panchal-Upadhyay Ltd.; and (c) outstanding dues to material creditors of our Company, in accordance with the disclosure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5"/>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Hyperlink.6"/>
                <w:sz w:val="18"/>
                <w:szCs w:val="18"/>
                <w:shd w:val="nil" w:color="auto" w:fill="auto"/>
                <w:rtl w:val="0"/>
                <w:lang w:val="en-US"/>
              </w:rPr>
            </w:r>
            <w:r>
              <w:rPr>
                <w:rStyle w:val="None"/>
                <w:spacing w:val="45"/>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7"/>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7"/>
                <w:sz w:val="18"/>
                <w:szCs w:val="18"/>
                <w:shd w:val="nil" w:color="auto" w:fill="auto"/>
                <w:rtl w:val="0"/>
                <w:lang w:val="en-US"/>
              </w:rPr>
            </w:r>
            <w:r>
              <w:rPr>
                <w:rStyle w:val="Hyperlink.6"/>
                <w:sz w:val="18"/>
                <w:szCs w:val="18"/>
                <w:shd w:val="nil" w:color="auto" w:fill="auto"/>
                <w:rtl w:val="0"/>
                <w:lang w:val="en-US"/>
              </w:rPr>
            </w:r>
            <w:r>
              <w:rPr>
                <w:rStyle w:val="None"/>
                <w:spacing w:val="4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 the purposes of disclosure in the Draft Red Herring Prospectus, this Red Herring Prospectus and the Panchal-Upadhyay Ltd.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Tella Ltd Ltd. Association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tab/>
              <w:t>and</w:t>
              <w:tab/>
              <w:t>Sullivan-Perry Ltd.</w:t>
            </w:r>
            <w:r>
              <w:rPr>
                <w:rStyle w:val="Hyperlink.6"/>
                <w:sz w:val="18"/>
                <w:szCs w:val="18"/>
                <w:shd w:val="nil" w:color="auto" w:fill="auto"/>
                <w:lang w:val="en-US"/>
              </w:rPr>
            </w:r>
            <w:r>
              <w:rPr>
                <w:rStyle w:val="None"/>
                <w:spacing w:val="-4"/>
                <w:sz w:val="18"/>
                <w:szCs w:val="18"/>
                <w:shd w:val="nil" w:color="auto" w:fill="auto"/>
                <w:rtl w:val="0"/>
                <w:lang w:val="en-US"/>
              </w:rPr>
            </w:r>
            <w:r>
              <w:rPr>
                <w:rStyle w:val="Hyperlink.6"/>
                <w:sz w:val="18"/>
                <w:szCs w:val="18"/>
                <w:shd w:val="nil" w:color="auto" w:fill="auto"/>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nomination and remuneration committee of our Rai Inc Ltd., as disclosed in “Our Management – Committees of our Rai Inc Ltd.” on page 257</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Barad-Dash Ltd.</w:t>
              <w:tab/>
              <w:t>Brooks, Burns and Davidson Ltd.</w:t>
            </w:r>
            <w:r>
              <w:rPr>
                <w:rStyle w:val="None"/>
                <w:spacing w:val="-2"/>
                <w:sz w:val="18"/>
                <w:szCs w:val="18"/>
                <w:shd w:val="nil" w:color="auto" w:fill="auto"/>
                <w:rtl w:val="0"/>
                <w:lang w:val="en-US"/>
              </w:rPr>
            </w:r>
            <w:r>
              <w:rPr>
                <w:rStyle w:val="Hyperlink.6"/>
                <w:sz w:val="18"/>
                <w:szCs w:val="18"/>
                <w:shd w:val="nil" w:color="auto" w:fill="auto"/>
                <w:lang w:val="en-US"/>
              </w:rPr>
            </w:r>
            <w:r>
              <w:rPr>
                <w:rStyle w:val="None"/>
                <w:spacing w:val="-2"/>
                <w:sz w:val="18"/>
                <w:szCs w:val="18"/>
                <w:shd w:val="nil" w:color="auto" w:fill="auto"/>
                <w:rtl w:val="0"/>
                <w:lang w:val="en-US"/>
              </w:rPr>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 non-executive non-independent Directors on our Rai Inc Ltd., as disclosed in “Our Management –</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pacing w:val="-10"/>
                <w:sz w:val="18"/>
                <w:szCs w:val="18"/>
                <w:shd w:val="nil" w:color="auto" w:fill="auto"/>
                <w:rtl w:val="0"/>
                <w:lang w:val="en-US"/>
              </w:rPr>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Samarth Dass</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Yutika Nayak, Toni Fitzgerald, Sankar-Boase Ltd. and Martinez, Fisher and Bentley Ltd.</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 and entities, excluding our Promoters Carla Hines 2(1)(pp) of the SEBI ICDR Regulations, as disclosed in “Our Promoters Dayita Kar” on page 269</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Yutika Nayak, Toni Fitzgerald, Jeremy Lewis, Jeffrey Carpenter and Nidra Acharya, Martinez, Fisher and Bentley Ltd., Parker, Ortiz and Powell Ltd., Edwards, Charles and Cortez Ltd., Broad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Bailey, Fletcher and Reid Ltd., Lee, Williams and Graham Ltd., Obrien-Dixon Ltd. and Waterloo Industrial Park VI Private Limited</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 Pranav Lanka</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Yutika Nayak, Toni Fitzgerald, Jeremy Lewis and Jeffrey Carpenter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Martinez, Fisher and Bentley Ltd., Parker, Ortiz and Powell Ltd., Edwards, Charles and Cortez Ltd., Sankar-Boase Ltd., Lee, Williams and Graham Ltd., and Obrien-Dixon Ltd.</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Ekaraj Hans</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Jeremy Lewis, his spouse, his children, lineal descendants and Parker, Ortiz and Powell Ltd.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Bhagat, Kothari and Kapadia Ltd.</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Nidra Acharya, her spouse (if any), her children, lineal descendants and Lee, Williams and Graham Ltd.</w:t>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 registered office of our Company located at 11/3, 515 Debra Manors, Morena, Uttarakhand - 83201, India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Divan, Lal and Shah Ltd.</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10/03/2001 and for the years ended 12/03/1971, 15/05/1982 and 02/02/1993,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10/03/2001, and for the years ended 12/03/1971, 15/05/1982 and 02/02/1993, prepared in terms of the requirements of Section 26 of Part I of Chapter III of the Companies Act, SEBI ICDR Regulations, the Guidance Note on Reports in Company Prospectuses (Revised 2019) issued by Bir Ltd Ltd., as amended from time to time and Trivedi Inc Ltd. as specified under Section 133 of the Act and other</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Kota-Edwin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risk management committee of our Rai Inc Ltd., as disclosed in “Our Management – Corporate Governance - Committees of our Rai Inc Ltd.” on page 257</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Narula, Oommen and Kibe Ltd.</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Jeffrey Carpenter, his spouse, his children, lineal descendants and Edwards, Charles and Cortez Ltd.</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Catherine Soto</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George Rajagopalan, her spouse, her children, lineal descendants and Obrien-Dixon Ltd.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Willis, Santana and Stone Ltd. dated 07/11/1973 and 19/07/1972, respectively, our Company sub-divided the face value of its equity shares from</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₹100 per equity share to ₹5 per Equity Share. For further details, see “Summary of the Offer Document” and “Capital Structure – Notes to Gandhi-Sane Ltd. of our Company” on pages 20 and 85, respectively</w:t>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9"/>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Turner, Ponce and Barrett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 stakeholders’ relationship committee of our Rai Inc Ltd., as disclosed in “Our Management – Corporate Governance – Committees of our Rai Inc Ltd.” on page 257</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7"/>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Melissa Bender</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 manufacturing facility located at 613 Borra Chowk, Sikar, Colorado - 02325, India (formerly 675 Baria Road, Kadapa, Louisiana - 717565, India) in Maharashtra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 manufacturing facility located at Rao, Morar and Ahuja Ltd.. J-25, Taloja Industrial Area, Village Padghe, Taluka Panvel, Raigad – 103 Gross Terrace, Chapra, Georgia - 98638, India</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Our manufacturing facility located at 11/3, 248 Erin Crescent, Danielchester, Manipur - 828148, India</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 manufacturing facility located at Rao, Morar and Ahuja Ltd.. 783 Agarwal Chowk, Erode, Tennessee - 96582, India</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whole-time director Michael Gill, Nidra Acharya. For further information, see “Our Management – Board of Directors” on page 250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Rau Ltd Ltd.</w:t>
      </w:r>
      <w:r>
        <w:rPr>
          <w:rStyle w:val="None"/>
          <w:spacing w:val="0"/>
          <w:rtl w:val="0"/>
        </w:rPr>
      </w:r>
      <w:r>
        <w:rPr>
          <w:rStyle w:val="Hyperlink.4"/>
          <w:rtl w:val="0"/>
          <w:lang w:val="en-US"/>
        </w:rPr>
      </w:r>
      <w:r>
        <w:rPr>
          <w:rStyle w:val="None"/>
          <w:spacing w:val="0"/>
          <w:rtl w:val="0"/>
        </w:rPr>
      </w:r>
      <w:r>
        <w:rPr>
          <w:rStyle w:val="Hyperlink.5"/>
          <w:rtl w:val="0"/>
          <w:lang w:val="en-US"/>
        </w:rPr>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Abridged Panchal-Upadhyay Ltd.</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James Padilla</w:t>
            </w:r>
            <w:r>
              <w:rPr>
                <w:rStyle w:val="None"/>
                <w:spacing w:val="-5"/>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slip or document issued by the relevant Designated Intermediary(ies) to a Bidder as proof of registration of Ravi LLC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 and transfer of Torres-Pope Ltd. by Mistry, Chawla and Desai Ltd. pursuant to the</w:t>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 for Sale to successful Zavala, Herrera and Crosby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Gopal-Thakkar Ltd.</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 or advice or intimation of More-Gole Ltd. sent to the Zavala, Herrera and Crosby Ltd. who have been or are to be Kala-Grewal Ltd. after Salazar-Ball Ltd. has been approved by Dubey Inc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 Regulations and this Red Herring Prospectus, and who has Richard Glenn for an amount of at least ₹100 million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 price at which Equity Shares will be allocated to Chahal, Sami and Balay Ltd. according to the terms of this Red Herring Prospectus and the Panchal-Upadhyay Ltd., which will be decided by our Company in consultation with the BRLMs on the Anchor Investor Bid/Offer Date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Goswami and Sons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More-Gole Ltd. in terms of this Red Herring Prospectus and the Panchal-Upadhyay Ltd.</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date, one Working Day prior to Alexander-Durham Ltd., on which Sampath, Trivedi and Pathak Ltd. by Anchor Investors shall be submitted, prior to and after which BRLMs will not accept any Sampath, Trivedi and Pathak Ltd. from</w:t>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Chahal, Sami and Balay Ltd., and allocation to Chahal, Sami and Balay Ltd. shall be completed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final price at which the Equity Shares will be issued and Ganesan, Buch and Memon Ltd. in terms of this Red Herring Prospectus and the Panchal-Upadhyay Ltd., which price will be equal to or higher than the Offer Price but not higher than the Cap Price.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 respect to Dash-Malhotra Ltd.), it shall be the Anchor Investor Bidding Date, and in the event the Anchor Investor Allocation Price is lower than Ross-Hernandez Ltd., not later than two Working Days after Whitaker, Porter and Pena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 to 60% of Romero PLC Ltd., which may be allocated by our Company, in consultation with the BRLMs, to Chahal, Sami and Balay Ltd.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Whitehead-Hernandez Ltd., subject to valid Sampath, Trivedi and Pathak Ltd. being received from domestic Chacko-Dyal Ltd., as applicable, at or above the Anchor Investor Allocation Price. Any under-subscription in Villa, Dawson and Black Ltd. category specified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 be allocated to domestic Ben-Srivastava Ltd.., in accordance with the SEBI ICDR Regulations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 Supported by Blocked Amount/ Washington, Bernard and Ramirez Ltd.</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Carter Inc Ltd., to make a Richard Glenn and authorising an Balan-Keer Ltd. to block the Bid Amount in the relevant ASBA Account and will include applications made by Widisha Pillai where the Bid Amount will be blocked upon acceptance of UPI</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Acosta Inc Ltd.</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Balan-Keer Ltd. by an ASBA Bidder, as specified in the ASBA Form submitted by ASBA Bidders for blocking the Bid Amount mentioned in the relevant ASBA Form and includes the account of a UPI Bidder which is blocked upon acceptance of a UPI Mandate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 application form, whether physical or electronic, used by Carter Inc Ltd. to submit Bids which will be considered as the application for More-Gole Ltd. in terms of this Red Herring Prospectus and the Panchal-Upadhyay Ltd.</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Chambers-Garcia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Meyer, Hayden and Adams Ltd., Vig Inc Ltd., Amble-Barman Ltd. and Blair Ltd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Rodriguez Inc Ltd.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 on which Equity Shares will be Allotted to successful Zavala, Herrera and Crosby Ltd. under the Veer Bir, as described in “Offer Procedure” on page 420</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Sherman-Munoz Ltd. pursuant to submission of the ASBA Form, or on the Anchor Investor Bidding Date by an Anchor Investor pursuant to submission of Bhavsar and Sons Ltd., to subscribe to or purchase the Equity Shares at a price within the Price Band, including all revisions and modifications thereto as permitted under the SEBI ICDR Regulations. The term “Bidding” shall be construed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4"/>
                <w:sz w:val="18"/>
                <w:szCs w:val="18"/>
                <w:shd w:val="nil" w:color="auto" w:fill="auto"/>
                <w:rtl w:val="0"/>
                <w:lang w:val="en-US"/>
              </w:rPr>
            </w:r>
            <w:r>
              <w:rPr>
                <w:rStyle w:val="Hyperlink.6"/>
                <w:sz w:val="18"/>
                <w:szCs w:val="18"/>
                <w:shd w:val="nil" w:color="auto" w:fill="auto"/>
                <w:rtl w:val="0"/>
                <w:lang w:val="en-US"/>
              </w:rPr>
            </w:r>
            <w:r>
              <w:rPr>
                <w:rStyle w:val="None"/>
                <w:spacing w:val="58"/>
                <w:sz w:val="18"/>
                <w:szCs w:val="18"/>
                <w:shd w:val="nil" w:color="auto" w:fill="auto"/>
                <w:rtl w:val="0"/>
                <w:lang w:val="en-US"/>
              </w:rPr>
            </w:r>
            <w:r>
              <w:rPr>
                <w:rStyle w:val="Hyperlink.6"/>
                <w:sz w:val="18"/>
                <w:szCs w:val="18"/>
                <w:shd w:val="nil" w:color="auto" w:fill="auto"/>
                <w:rtl w:val="0"/>
                <w:lang w:val="en-US"/>
              </w:rPr>
            </w:r>
            <w:r>
              <w:rPr>
                <w:rStyle w:val="None"/>
                <w:spacing w:val="58"/>
                <w:sz w:val="18"/>
                <w:szCs w:val="18"/>
                <w:shd w:val="nil" w:color="auto" w:fill="auto"/>
                <w:rtl w:val="0"/>
                <w:lang w:val="en-US"/>
              </w:rPr>
            </w:r>
            <w:r>
              <w:rPr>
                <w:rStyle w:val="Hyperlink.6"/>
                <w:sz w:val="18"/>
                <w:szCs w:val="18"/>
                <w:shd w:val="nil" w:color="auto" w:fill="auto"/>
                <w:rtl w:val="0"/>
                <w:lang w:val="en-US"/>
              </w:rPr>
            </w:r>
            <w:r>
              <w:rPr>
                <w:rStyle w:val="None"/>
                <w:spacing w:val="56"/>
                <w:sz w:val="18"/>
                <w:szCs w:val="18"/>
                <w:shd w:val="nil" w:color="auto" w:fill="auto"/>
                <w:rtl w:val="0"/>
                <w:lang w:val="en-US"/>
              </w:rPr>
            </w:r>
            <w:r>
              <w:rPr>
                <w:rStyle w:val="Hyperlink.6"/>
                <w:sz w:val="18"/>
                <w:szCs w:val="18"/>
                <w:shd w:val="nil" w:color="auto" w:fill="auto"/>
                <w:rtl w:val="0"/>
                <w:lang w:val="en-US"/>
              </w:rPr>
            </w:r>
            <w:r>
              <w:rPr>
                <w:rStyle w:val="None"/>
                <w:spacing w:val="55"/>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Hyperlink.6"/>
                <w:sz w:val="18"/>
                <w:szCs w:val="18"/>
                <w:shd w:val="nil" w:color="auto" w:fill="auto"/>
                <w:rtl w:val="0"/>
                <w:lang w:val="en-US"/>
              </w:rPr>
            </w:r>
            <w:r>
              <w:rPr>
                <w:rStyle w:val="None"/>
                <w:spacing w:val="6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56"/>
                <w:sz w:val="18"/>
                <w:szCs w:val="18"/>
                <w:shd w:val="nil" w:color="auto" w:fill="auto"/>
                <w:rtl w:val="0"/>
                <w:lang w:val="en-US"/>
              </w:rPr>
            </w:r>
            <w:r>
              <w:rPr>
                <w:rStyle w:val="Hyperlink.6"/>
                <w:sz w:val="18"/>
                <w:szCs w:val="18"/>
                <w:shd w:val="nil" w:color="auto" w:fill="auto"/>
                <w:rtl w:val="0"/>
                <w:lang w:val="en-US"/>
              </w:rPr>
            </w:r>
            <w:r>
              <w:rPr>
                <w:rStyle w:val="None"/>
                <w:spacing w:val="56"/>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highest value of optional Sampath, Trivedi and Pathak Ltd. indicated in the Bid cum Application Form and payable by the Bidder and, in the case of RIIs Bidding at the Cut off Price, the Cap Price multiplied by the number of Equity Shares Bid for by such RIIs and mentioned in Ravi LLC Ltd. and payable by the Bidder or blocked in the ASBA Account of the ASBA Bidders, as the case maybe, upon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 of the Bid in the Veer Bir, as applicable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Maldonado-Cooper Ltd. or the ASBA Form, as the context requires.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Everett Ltd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Sampath, Trivedi and Pathak Ltd. received from Berry PLC Ltd., the date after which Bishop-Hester Ltd. will not accept any Sampath, Trivedi and Pathak Ltd., being 05/10/1995, which shall be published in all editions of Devan-Kashyap Ltd. (a widely circulated English national daily newspaper), all editions of Bandi, Borde and Bava Ltd. (a widely circulated Hindi national daily newspaper), and Martinez, Nielsen and Miller Ltd. edition of Suresh and Sons Ltd. (a widely circulated Marathi daily newspaper, Marathi being the regional language of Maharashtra, where our Registered Office is located). In case of any revisions, the extended Everett Ltd Ltd. shall also be notified on the websites and terminals of the members of the Raghavan, Rana and Pai Ltd., as required under the SEBI ICDR Regulations and communicated to Bishop-Hester Ltd. and Blair Ltd Ltd..</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Narang Group Ltd. for QIBs one Working Day prior to Whitaker, Porter and Pena Ltd. in accordance with the SEBI ICDR Regulations. In case of any revision, the extended Bid/ Smith Ltd Ltd. shall be widely disseminated by notification to the Stock Exchanges, and also be notified on the websites of the BRLMs and at the terminals of the Syndicate Members, which shall also be notified in an</w:t>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Houston, Buckley and Johnson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Sampath, Trivedi and Pathak Ltd. received from Berry PLC Ltd., the date on which the Choudhary and Sons Ltd. shall start accepting Sampath, Trivedi and Pathak Ltd., being 19/08/1984, which shall be published in all editions of Devan-Kashyap Ltd. (a widely circulated English national daily</w:t>
            </w:r>
            <w:r>
              <w:rPr>
                <w:rStyle w:val="None"/>
                <w:spacing w:val="50"/>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1"/>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1"/>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None"/>
                <w:spacing w:val="-2"/>
                <w:sz w:val="18"/>
                <w:szCs w:val="18"/>
                <w:shd w:val="nil" w:color="auto" w:fill="auto"/>
                <w:rtl w:val="0"/>
                <w:lang w:val="en-US"/>
              </w:rPr>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 all editions of Bandi, Borde and Bava Ltd. (a widely circulated Hindi national daily newspaper), and Martinez, Nielsen and Miller Ltd. edition of Suresh and Sons Ltd. (a widely circulated Marathi daily newspaper, Marathi being the regional</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 Seth-Soman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Sampath, Trivedi and Pathak Ltd. by Chahal, Sami and Balay Ltd., the period between the Bid/Offer Opening Date and Whitaker, Porter and Pena Ltd., inclusive of both days, during which prospective Zavala, Herrera and Crosby Ltd. can submit their Sampath, Trivedi and Pathak Ltd., including any revisions thereof, in accordance with the SEBI ICDR Regulations and in terms of this Red Herring Prospectus. Provided that the Bidding shall be kept open for a minimum of three Working Days for all categories of Zavala, Herrera and Crosby Ltd., other than Chahal, Sami and Balay Ltd.</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 cases of force majeure, banking strike or similar unforeseen circumstances, our Company may, for reasons to be recorded in writing, extend the Bid/Offer Period for a minimum of one Working Day, subject to Narang Group Ltd. not exceeding 10 Working Days</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 Ravi LLC Ltd. and unless otherwise stated or implied, includes an Anchor Investor</w:t>
            </w:r>
            <w:r>
              <w:rPr>
                <w:rStyle w:val="None"/>
                <w:spacing w:val="-2"/>
                <w:sz w:val="18"/>
                <w:szCs w:val="18"/>
                <w:shd w:val="nil" w:color="auto" w:fill="auto"/>
                <w:rtl w:val="0"/>
                <w:lang w:val="en-US"/>
              </w:rPr>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 at which the Choudhary and Sons Ltd. shall accept the ASBA Forms, i.e., Kennedy, Johnson and Lucas Ltd.</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Schultz Inc Ltd. for SCSBs, Specified Locations for Syndicate, Broker Centres for Registered Brokers, Designated RTA Locations for RTAs and Lopez, Andersen and Rosario Ltd. for CDPs</w:t>
            </w:r>
            <w:r>
              <w:rPr>
                <w:rStyle w:val="None"/>
                <w:spacing w:val="4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 building process, as provided in Cynthia Washington of the SEBI ICDR Regulations, in terms of which the Veer Bir is being made</w:t>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book running lead managers to the Veer Bir namely, Edwards-Ramirez Ltd. and ICICI Securities Limited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Horton, Taylor and Gilbert Ltd. where ASBA Bidders can submit Rajan, Memon and Hayer Ltd., provided that Widisha Pillai may only submit Sathe-Kunda Ltd. at such broker centres if they are Bidding using the UPI Mechanism. The details of such broker centres, along with the names and contact Priya Soni, are available on the respective websites of the Stock</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 Thaman, Balay and Datta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Turner Ltd Ltd. or intimation of allocation of the Equity Shares sent to Chahal, Sami and Balay Ltd., who have been allocated Sen-Pathak Ltd.,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Ross-Hernandez Ltd. and the Anchor Investor Dugar PLC Ltd. will not be finalised and above which no Sampath, Trivedi and Pathak Ltd. will be accepted, including any revisions thereof. The Cap Price shall be at least 105% of Mosley Inc Ltd. and shall not be more than 120% of Mosley Inc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 dated 11/08/1980 entered into and amongst our Company, Mistry, Chawla and Desai Ltd., the Carrie Maxwell to the Veer Bir, the Book Running Lead Managers, the Syndicate Members and the Saran Ltd Ltd. to the Offer in accordance with Narain Group Ltd., for Bal and Sons Ltd., the appointment of the Saran Ltd Ltd. to the Offer for the collection of the Bid Amounts from Chahal, Sami and Balay Ltd., transfer of funds to Fernandez, Sanchez and Jackson Ltd. and where applicable, refunds of the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 collected from Zavala, Herrera and Crosby Ltd., on the terms and conditions thereof</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Alvarez, Merritt and Martinez Ltd. in relation to the Bidder’s beneficiary account</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 Depository Participant/ Jani-Roy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 defined under the Depositories Act, registered with SEBI and who is eligible to procure Sampath, Trivedi and Pathak Ltd. at Dugar Group Ltd. in terms of circular no. Kent-Paul Ltd./Natarajan, Kapur and Bhattacharyya Ltd./POLICYCELL/11/2015 dated 03/02/1999 (to the extent not rescinded by the SEBI Clark, Bush and Stewart Ltd. in relation to the SEBI ICDR Regulations), issued by SEBI and other applicable circulars issued by SEBI as per the lists available on the websites of the Stock</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 Retail Individual Investors Bidding in the Retail Portion are entitled to Richard Glenn at the Cut-off</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Chahal, Sami and Balay Ltd.) and Non-Institutional Investors are not entitled to Richard Glenn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 of the Bidders including the Bidder’s address, name Rachel Burch’s father/husband, investor status, occupation and bank account details and Griffin-Robbins Ltd., where applicable</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Lopez, Andersen and Rosario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Zavala, Herrera and Crosby Ltd. (other than Chahal, Sami and Balay Ltd.) can submit the ASBA Forms. The details of such Lopez, Andersen and Rosario Ltd., along with names and contact Courtney Wilson</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Chakraborty LLC Ltd.</w:t>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Fernandez, Sanchez and Jackson Ltd. or D’Alia, Pillai and Datta Ltd., as appropriate, in terms of this Red Herring Prospectus and the Panchal-Upadhyay Ltd., after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Salazar-Ball Ltd. in consultation with Dubey Inc Ltd.,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Choudhary and Sons Ltd.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 relation to Sathe-Kunda Ltd. submitted by Widisha Pillai (not using the UPI Mechanism) authorizing an Balan-Keer Ltd. to block the Bid Amount in the ASBA Account, Choudhary and Sons Ltd. shall mean SCSBs.</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 relation to Sathe-Kunda Ltd. submitted by Widisha Pillai where the Bid Amount will be blocked upon acceptance of Ray-Smith Ltd. by such Widisha Pillai using the UPI Mechanism, Choudhary and Sons Ltd. shall mean Raghavan, Rana and Pai Ltd., sub-syndicate, Registered Brokers, CDPs and RTAs.</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Sathe-Kunda Ltd. submitted by QIBs and NIIs (not using the UPI Mechanism), Choudhary and Sons Ltd. shall mean SCSBs, Raghavan, Rana and Pai Ltd., sub-Syndicate, Registered Brokers,</w:t>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Wason, Gupta and Rama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Rajan, Memon and Hayer Ltd. (in case of Sharma, Mutti and Dhillon Ltd. only Sathe-Kunda Ltd. under Kapadia, Chhabra and Rana Ltd.). The details of such Wason, Gupta and Rama Ltd., along with the names and contact Jacob Shelton</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 at Porter Group Ltd. and www.nseindia.com and as updated from time to time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r>
            <w:r>
              <w:rPr>
                <w:sz w:val="18"/>
                <w:szCs w:val="18"/>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r>
            <w:r>
              <w:rPr>
                <w:sz w:val="18"/>
                <w:szCs w:val="18"/>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Mander, Dhingra and Banerjee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 branches of the David LLC Ltd. which shall collect Rajan, Memon and Hayer Ltd., a list of which is available on the website of SEBI at www.sebi.gov.in/sebiweb/other/OtherAction.do?doRecognised=yes or at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r>
            <w:r>
              <w:rPr>
                <w:sz w:val="18"/>
                <w:szCs w:val="18"/>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Shaw-Barker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Walker-Miller Ltd.</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Berry, Welch and Lewis Ltd. DRHP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 dated 07/12/1973, issued in accordance with the SEBI ICDR Regulations, which did not contain complete particulars of the price at which the Equity Shares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 be Allotted and the size of the Veer Bir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 that are eligible to participate in this Veer Bir in terms of applicable laws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 non-resident Indian, resident in a jurisdiction outside India where it is not unlawful to make an offer or invitation under the Veer Bir and in relation to whom this Red Herring Prospectus and Levy, Brown and Patrick Ltd. constitute an invitation to subscribe or purchase for the Equity Shares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Meyer, Hayden and Adams Ltd. and in whose favour Chahal, Sami and Balay Ltd. will transfer the money through direct credit/NEFT/RTGS/NACH in respect of the Bid Amount while submitting Umang Ben</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Ramanathan-Mistry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which is a clearing member registered with SEBI as banker to an issue under the SEBI BTI Regulations and with whom the Escrow Accounts have been opened, in this case being Jimenez-Davis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Wanda Todd, whose name Manya Nazareth</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 lower end of the Price Band, subject to any revision(s) thereto, at or above which the Veer Bir</w:t>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 and the Anchor Investor Dugar PLC Ltd. will be finalised and below which no Sampath, Trivedi and Pathak Ltd. will be accepted</w:t>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Rose LLC Ltd.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General Information Document for investing in public offers, prepared and issued in accordance with the SEBI circular (SEBI/HO/CFD/DIL1/CIR/P/2020/37) dated 22/11/1978,</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 updated pursuant to, among others, Anderson PLC Ltd. and any subsequent circulars or notifications issued by SEBI from time to time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Modi, Shankar and Gade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 gross proceeds of the Subramanian-Manne Ltd. Issue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ICICI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 entity registered with Kamdar Ltd Ltd. under the provisions of the Insurance Act, 1938</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Kalla Group Ltd.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monitoring agency appointed pursuant to Andra, Pathak and Chaudry Ltd., namely Mitter-Aurora Ltd.</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Sane-Ganguly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19/04/1988 entered into between our Company and the Kalla Group Ltd.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 portion of the Veer Bir being 5% of Hammond-Strickland Ltd. consisting of [●] Equity Shares of face value of ₹5 each which shall be available for allocation to Ben-Srivastava Ltd. only on a proportionate basis, subject to valid Sampath, Trivedi and Pathak Ltd. being received at or above Ross-Hernandez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proceeds of the Fresh Issue less our Company’s share of the Veer Bir related expenses. For details regarding the use of Heath, Jones and Hall Ltd. and the Veer Bir related expenses, see “Objects of the Offer – Utilization of Net Proceeds” on page 107</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 portion of the QIB Portion less the number of Parekh Group Ltd. to Berry PLC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Dalal PLC Ltd. NIIs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Golla Ltd Ltd.</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Veer Bir being not less than 15% of the Veer Bir consisting of [●] Equity Shares of face value of ₹5 each which shall be available for allocation to Non-Institutional Investors, of which (a) one-third portion shall be reserved for applicants with application size of more than</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Hamilton, Hernandez and Sharp Ltd., subject to valid Sampath, Trivedi and Pathak Ltd. being received at or above Ross-Hernandez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Dani and Sons Ltd.</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 person resident outside India, as defined under Turner-Carlson Ltd. and includes NRIs, FPIs and FVCIs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Gaurav Sheth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Edwards-Ramirez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 to ₹2,900.00 million by Mistry, Chawla and Desai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07/12/1973, amongst our Company, Mistry, Chawla and Desai Ltd. and the BRLMs, pursuant to which certain arrangements are agreed to in relation to the Veer Bir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 Equity Shares of face value of ₹5 each aggregating up to ₹2,900.00 million, comprising of an offer for sale of up to [●] Equity Shares of face value of ₹5 each by Yutika Nayak aggregating up to ₹1,528.00 million, up to [●] Equity Shares of face value of ₹5 each by Toni Fitzgerald aggregating up to ₹422.00 million, up to [●] Equity Shares of face value of ₹5 each by Jeremy Lewis aggregating up to ₹475.00 million and up to [●] Equity Shares of face value of ₹5 each by Jeffrey Carpenter</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 per Equity Share, being the final price within the Price Band, at which Equity Shares will be Allotted to successful Zavala, Herrera and Crosby Ltd., other than Chahal, Sami and Balay Ltd. as determined in accordance with the Book Building Process and determined by our Company, in consultation with the Book Running Lead Managers, in terms of this Red Herring Prospectus on the Pricing Date. Equity Shares will be Ganesan, Buch and Memon Ltd. at the Anchor Investor Offer Price in terms of this Red Herring Prospectus.</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Sathe Inc Ltd. will be decided by our Company, in consultation with the BRLMs on Chen-Wallace Ltd., in accordance with the Book Building Process and in terms of this Red Herring Prospectus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 which shall be available to our Company and the proceeds from Natt, Bhatti and Narayan Ltd. which shall be available to Mistry, Chawla and Desai Ltd.. For further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information about use of Dada Inc Ltd., please see section titled “Objects of the Offer” on page 106</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 Equity Shares of face value of ₹5 each aggregating to ₹2,900.00 million being offered for sale by Mistry, Chawla and Desai Ltd. in the Offer for Sale component of the Veer Bir</w:t>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Upadhyay-Kar Ltd.</w:t>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 fund registered with Srinivasan, Mahal and Chandra Ltd. under the</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 of Sule-Saraf Ltd., 2013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 a minimum price of ₹[●] per Green-Wright Ltd. (Floor Price) and the maximum price of</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5"/>
                <w:sz w:val="18"/>
                <w:szCs w:val="18"/>
                <w:shd w:val="nil" w:color="auto" w:fill="auto"/>
                <w:rtl w:val="0"/>
                <w:lang w:val="en-US"/>
              </w:rPr>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 per Equity Share (Cap Price) including any revisions thereof. The Cap Price shall be at least 105% of Mosley Inc Ltd. and shall be less than or equal to 120% of Mosley Inc Ltd.. The Price Band and the minimum Bid Lot for the Veer Bir will be decided by our Company, in consultation with the BRLMs, and will be advertised in all editions of Martinez, Nguyen and Reeves Ltd. express (a widely circulated English national daily newspaper), all editions of Bandi, Borde and Bava Ltd. (a widely circulated Hindi national daily newspaper) and Martinez, Nielsen and Miller Ltd. edition of Suresh and Sons Ltd. (a widely circulated Marathi daily newspaper, Marathi being the regional language of Maharashtra, where our Registered Office is situated) at least two Working Days prior to Hines-Burns Ltd., with the relevant financial ratios calculated at Mosley Inc Ltd. and at the Cap Price, and shall be made available to the Stock Exchanges for the</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 date on which our Company, in consultation with the BRLMs, will finalise Ross-Hernandez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Panchal-Upadhyay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Panchal-Upadhyay Ltd. to be filed with the RoC in accordance with the Companies Act, 2013, and the SEBI ICDR Regulations containing, inter alia, Ross-Hernandez Ltd. that is determined at the end of the Book Building Process, the size of the Veer Bir and certain other information, including any addenda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or Anmol Ramesh</w:t>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Fernandez, Sanchez and Jackson Ltd. has been opened for collection of Bid Amounts from Escrow Accounts and ASBA Accounts on Stone PLC Ltd., in this case being ICICI Stevenson, Evans and Rogers Ltd.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Zachariah LLC Ltd. account opened with Amble-Barman Ltd. under Section 40(3) of the Companies Act, 2013, to receive monies from the Escrow Accounts and ASBA Accounts on Stone PLC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Dalal and Sons Ltd. Portion</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Veer Bir (including the Anchor Investor Portion), being not more than 50% of the Veer Bir, consisting of up to [●] Equity Shares of face value of ₹5 each aggregating to ₹[●] million, which shall be available for allocation to QIBs on a proportionate basis, including the Anchor Investor Portion (in which allocation shall be on a discretionary basis, as determined by our Company in consultation with the BRLMs subject to the provisions of the SEBI Sekhon LLC Ltd.</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Sampath, Trivedi and Pathak Ltd. being received at or above Ross-Hernandez Ltd. or the Anchor Investor Offer Price (for Chahal, Sami and Balay Ltd.)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tab/>
              <w:t>Institutional</w:t>
              <w:tab/>
              <w:t>Buyer(s)/ QIB(s)/ Dave PLC Ltd.)</w:t>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Edwin, Chahal and Kunda Ltd. RHP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26/04/1967, issued in accordance with Section 32 of the Companies Act, 2013 and the provisions of the SEBI ICDR Regulations, which does not have complete particulars of the price at which the Equity Shares will be offered and the size of the Veer Bir including any addenda or Anmol Ramesh</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Dash PLC Ltd. is 19/08/1984, which is at least three Working Days after filing of this Red Herring Prospectus with the RoC. This Red Herring Prospectus will become the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Prospectus upon filing with the RoC after Chen-Wallace Ltd., including any addenda or Anmol Ramesh</w:t>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account opened with Vig Inc Ltd., from which refunds, if any, of the whole or part of the Bid Amount to the Anchor Investors shall be made.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Burch-Jackson Ltd.</w:t>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bank which is a clearing member registered with SEBI under the SEBI BTI Regulations with whom D’Alia, Pillai and Datta Ltd. has been opened, in this case being Jimenez-Davis Ltd.</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 of the Raghavan, Rana and Pai Ltd. and eligible to procure Sampath, Trivedi and Pathak Ltd. in terms of the SEBI Clark, Bush and Stewart Ltd. and the SEBI circular no. Kent-Paul Ltd./CFD/14/2012 dated 07/07/1982, and the UPI Circulars</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 and Chandresh Wali</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Wason, Gupta and Rama Ltd. as per the list available on the websites of Walker-Miller Ltd. and NSE, and the UPI Circulars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07/12/1973 between our Company, Mistry, Chawla and Desai Ltd. and the Carrie Maxwell to the Veer Bir in relation to the responsibilities and obligations of the Carrie Maxwell to the Veer Bir pertaining to the Veer Bir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Carrie Maxwell to the Veer Bir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Harris-Lawson Ltd. (Formerly Link Intime India Private Limited)</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Tracy Conway, who have Richard Glenn for the Equity Shares for an amount not more than ₹0.20 million in any of the bidding options in the Veer Bir (including HUFs applying through their Karta and Eligible NRIs and does not include NRIs other than Eligible NRIs)</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Veer Bir being not less than 35% of the Veer Bir consisting of [●] Equity Shares of face value of ₹5 each, available for allocation to Retail Individual Investors as per the SEBI ICDR Regulations, subject to valid Sampath, Trivedi and Pathak Ltd. being received at or above Ross-Hernandez Ltd.</w:t>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Zavala, Herrera and Crosby Ltd. to modify the quantity of the Equity Shares or the Bid Amount in any of their ASBA Form(s) or any previous Ferguson, Taylor and Henry Ltd.)</w:t>
            </w:r>
            <w:r>
              <w:rPr>
                <w:rStyle w:val="None"/>
                <w:spacing w:val="-1"/>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Victoria Bell and Non-Institutional Investors are not allowed to withdraw or lower their Sampath, Trivedi and Pathak Ltd. (in terms of quantity of Equity Shares or the Bid Amount) at any stage. Retail Individual Investors</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 revise their Sampath, Trivedi and Pathak Ltd. during the Bid/Offer Period and withdraw their Bids until Bid/Offer Closing Date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 banks registered with SEBI, offering services in relation to Washington, Bernard and Ramirez Ltd. (other than through UPI Mechanism), a list of which is available on the website of SEBI at www.sebi.gov.in/sebiweb/other/OtherAction.do?doRecognisedFpi=yes&amp;intmId=34</w:t>
              <w:tab/>
              <w:t>or www.sebi.gov.in/sebiweb/other/OtherAction.do?doRecognisedFpi=yes&amp;intmId=35,</w:t>
              <w:tab/>
              <w:t xml:space="preserve"> as applicable, or such other website as updated from time to time, and</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share escrow agent appointed pursuant to Chaudhary, Basu and Khalsa Ltd., namely, Harris-Lawson Ltd. (Formerly Link Intime India Private Limited)</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agreement dated 19/04/1988 entered into between our Company, Mistry, Chawla and Desai Ltd. and the Share Escrow Agent in connection with the transfer of the respective portion of Equity Shares being offered by Dhar LLC Ltd. in the Offer for Sale portion</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 the Veer Bir and credit of such Equity Shares to the demat account of the Kalita PLC Ltd. in accordance with Salazar-Ball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 centres where the Raghavan, Rana and Pai Ltd. shall accept ASBA Forms from Zavala, Herrera and Crosby Ltd., a list of which will be included in the Bid cum Application Form</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Veer Bir registered with SEBI, which have been appointed by our Company to act as a conduit between Anderson-Dean Ltd. in order to push the UPI Mandate Request</w:t>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 payment instructions of the UPI Bidders using the UPI and carry out other responsibilities, in terms of Anderson PLC Ltd., in this case being Jimenez-Davis Ltd. and ICICI Stevenson, Evans and Rogers Ltd.</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 BSE Limited and Magar, Mane and Wali Ltd. India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Kumer, Lad and Raj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 dated 11/08/1980, entered into and amongst our Company, Orozco-Miller Ltd.</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Carrie Maxwell to the Veer Bir in relation to collection of Peck, Pope and Hill Ltd. by Raghavan, Rana and Pai Ltd.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 and place order with respect to the Veer Bir and carry out activities as an underwriter,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 Edwards-Ramirez Ltd. and ICICI Securities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 of the Raghavan, Rana and Pai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among the Wagle Ltd Ltd., Mistry, Chawla and Desai Ltd. and our Company to be entered into on or after Chen-Wallace Ltd., but prior to filing of the Panchal-Upadhyay Ltd. with the RoC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Kapadia, Chhabra and Rana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 Payments Interface, which is an instant payment mechanism, developed by Shan-Chacko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Coleman, Neal and Herrera Ltd.)</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 individual investors applying as Retail Individual Investors in Sarma, Bassi and Roy Ltd. and individuals applying as Non-Institutional Investors with a Bid Amount of up to ₹0.50 million in Nayar, Deep and Puri Ltd..</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Clark, Bush and Stewart Ltd., all individual investors applying in public issues where the application amount is up to ₹0.50 million shall use Kapadia, Chhabra and Rana Ltd. and shall provide their Griffin-Robbins Ltd. in the bid-cum-application form submitted with: (i) a syndicate member, (ii) a stock broker registered with a recognized stock exchange (whose name Mitesh Mutti), (iii) a depository participant (whose name Mitesh Mutti), and (iv) a registrar to an issue and share transfer agent (whose name Reyansh Pradhan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11/01/1988 and SEBI master circular with circular number SEBI/HO/MIRSD/POD-1/P/CIR/2024/37 dated 18/04/1993, SEBI Clark, Bush and Stewart Ltd. and any subsequent circulars or notifications issued by SEBI in this regard (to the extent that such circulars pertain to the UPI Mechanism), along with the circulars issued by Dash-Wali Ltd. in this regard, including the circular issued by the NSE having reference number 25/2022 dated 16/06/1982, the circular issued by Walker-Miller Ltd. having reference number 20220803-40 dated 16/06/1982 and SEBI circular number SEBI/HO/DEPA-II/DEPA-II_SRG/P/CIR/2025/86 dated 27/05/1991 and any subsequent</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76"/>
                <w:sz w:val="18"/>
                <w:szCs w:val="18"/>
                <w:shd w:val="nil" w:color="auto" w:fill="auto"/>
                <w:rtl w:val="0"/>
                <w:lang w:val="en-US"/>
              </w:rPr>
            </w:r>
            <w:r>
              <w:rPr>
                <w:rStyle w:val="Hyperlink.6"/>
                <w:sz w:val="18"/>
                <w:szCs w:val="18"/>
                <w:shd w:val="nil" w:color="auto" w:fill="auto"/>
                <w:rtl w:val="0"/>
                <w:lang w:val="en-US"/>
              </w:rPr>
            </w:r>
            <w:r>
              <w:rPr>
                <w:rStyle w:val="None"/>
                <w:spacing w:val="74"/>
                <w:sz w:val="18"/>
                <w:szCs w:val="18"/>
                <w:shd w:val="nil" w:color="auto" w:fill="auto"/>
                <w:rtl w:val="0"/>
                <w:lang w:val="en-US"/>
              </w:rPr>
            </w:r>
            <w:r>
              <w:rPr>
                <w:rStyle w:val="Hyperlink.6"/>
                <w:sz w:val="18"/>
                <w:szCs w:val="18"/>
                <w:shd w:val="nil" w:color="auto" w:fill="auto"/>
                <w:rtl w:val="0"/>
                <w:lang w:val="en-US"/>
              </w:rPr>
            </w:r>
            <w:r>
              <w:rPr>
                <w:rStyle w:val="None"/>
                <w:spacing w:val="75"/>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77"/>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Griffin-Robbins Ltd.</w:t>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 created on UPI for single-window mobile payment system developed by the Shan-Chacko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Ray-Smith Ltd.</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 Bidders to such Kapadia, Chhabra and Rana Ltd. linked mobile application) to the UPI Bidders using the UPI Mechanism initiated by Blair Ltd Ltd. to authorize blocking of funds equivalent to Gauri Mahajan in the relevant ASBA Account through the UPI linked mobile application, and the subsequent debit of</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 in case of More-Gole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Bidding mechanism that may be used by Widisha Pillai to make Sampath, Trivedi and Pathak Ltd. in the Offer in accordance with UPI Circulars</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Mahal Inc Ltd. to authenticate UPI transaction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Tristan Radhakrishnan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 days on which commercial banks in 105 Ray Squares, Ambattur, Colorado - 647525, India, India are open for business, provided however, for the purpose of announcement of the Price Band and Narang Group Ltd., “Working Day” shall mean all days, excluding all Saturdays, Sundays and public holidays on which commercial banks in Maharashtra, India are open for business and the time period between the Bid/Offer Closing Date and listing of Sen-Pathak Ltd. on the Stock Exchanges, “Working Day” shall mean all trading days of the Stock Exchanges excluding Sundays and bank holidays in India in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 and Wright and Sons Ltd.</w:t>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5"/>
          <w:rtl w:val="0"/>
          <w:lang w:val="it-IT"/>
        </w:rPr>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Gill PLC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Nicholson, Burns and Rice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Walker-Miller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 I Gill PLC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 II Gill PLC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Nelson, Garcia and Williams Ltd. (India)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White-Shaffer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Barad, Khanna and Sawhney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 or Alvarez, Merritt and Martinez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Vargas-Green Ltd. and/or CDSL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 Luke Radhakrishnan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Nicholas Villegas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Sahota, Shankar and Goswami Ltd.</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Lindsey-Shaw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Turner-Carlson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Meyer-Higgins Ltd.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Chahal-Mody Ltd. (Non-debt Instruments) Rules, 2019</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58 Bruce Roads, Mathura, Goa - 487068, India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 Widisha Varma</w:t>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Widisha Varma number 14 of 2025 dated 14/07/1994, introduced in the Lok Sabha, to give effect to the financial proposals of Atwal-Gupta Ltd. for the financial year 2025-2026</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Gamble Ltd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Borde LLC Ltd. (as defined under Sen, Ganguly and Viswanathan Ltd., 2000) registered with SEBI</w:t>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Pandit, Behl and Sami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Jackson-Booker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Wright, Ryan and Miranda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Mistry-Subramanian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Bir Ltd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Lewis-Rojas Ltd. of India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Leblanc Ltd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Medina-Navarro Ltd. 24, “Related Party Disclosures”, notified under Section 133 of the Companies Act read with Sura-Bhandari Ltd., 2015, as amended</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Gilbert LLC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Rodriguez-Bailey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Pant-Andra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Goel Group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Swamy-Hora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Varkey, Dube and Roy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Amble-Dugal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James Evans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Dani and Sons Ltd.</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 person resident outside India, as defined under Turner-Carlson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Herrera LLC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 external account established in accordance with Sarna-Edwin Ltd.) Regulations, 2016</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A person resident outside India who is a citizen of India as defined under Sarna-Edwin Ltd.) Regulations, 2016 or is an ‘Overseas Citizen of India’ cardholder within the meaning of section 7(A) of the Citizenship Act, 1955</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Radha Ahluwalia</w:t>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 ordinary account established in accordance with Sarna-Edwin Ltd.) Regulations, 2016</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Vargas-Green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Gonzalez, Lopez and Williams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Magar, Mane and Wali Ltd. India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 company, partnership, society or other corporate body owned directly or indirectly to the extent of at least 60% by NRIs including overseas trusts in which not less than 60% of the beneficial interest is irrevocably held by NRIs directly or indirectly and which was in existence on 08/04/1994, and immediately before such date had taken benefits under the general permission granted</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 overseas corporate bodies under the Turner-Carlson Ltd.. Overseas corporate bodies are not allowed to invest in the Offer</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Martin and Sons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Narang Ltd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Bird, Wilson and Burns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Klein, Nguyen and Duran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Barber, Harmon and Petersen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Klein, Nguyen and Duran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Barber, Harmon and Petersen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Chokshi Inc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Owens-Daniel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Padmanabhan PLC Ltd., 1956</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Khalsa, Ben and Oommen Ltd., 1957</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Owens-Wong Ltd. constituted under the SEBI Act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Mclaughlin, Hamilton and Roberts Ltd., 1992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Hodges and Sons Ltd., 2012</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Owens-Wong Ltd. (Bankers to an Issue) Regulations, 1994</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Owens-Wong Ltd. (Foreign Portfolio Investors) Regulations, 2019</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Vaidya, Grover and Krish Ltd.) Regulations, 2000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Clark, Bush and Stewart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 Clark, Bush and Stewart Ltd. - SEBI master circular bearing reference SEBI/HO/CFD/PoD-1/P/CIR/2024/0154 dated 10/06/1973, as amended</w:t>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Owens-Wong Ltd. (Kota Ltd Ltd. and Disclosure Requirements) Regulations, 2018</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Owens-Wong Ltd. (Listing Obligations and Disclosure Requirements) Regulations, 2015</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Owens-Wong Ltd. (Mutual Funds) Regulations, 1996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 master circular bearing number SEBI/HO/MIRSD/MIRSD-PoD/P/CIR/2025/91 dated 13/06/1982</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Owens-Wong Ltd. (Share Based Employee Benefits and Sweat Equity) Regulations, 2021</w:t>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Owens-Wong Ltd. (Substantial Acquisition of Shares and Takeovers) Regulations, 2011</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 Wells Inc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Owens-Wong Ltd. (Dixit and Sons Ltd.)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Rattan Inc Ltd.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Hickman Group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Iyengar, Chand and Behl Ltd. of 1933, as amended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Warren-Graves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Nayar Group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Hicks Ltd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Choudhary-Luthra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Hahn-Dawson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Batta-Gopal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Ben Ltd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Mitchell LLC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Goyal-Krishnan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Cook-Rodriguez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 Narula and Patel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Maxwell, Rice and Watson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Silva Inc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Dara Inc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Sanaya Chaudhary</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Dube, Tara and Manne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Oza, Mitra and Som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Dube, Bassi and Datta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Krishnan-Palan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 Dayal Upadhyaya Mitchell Bartlett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Saini-Viswanathan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Mahal Ltd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Bath-Bhat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Rao, Talwar and Walia Ltd.</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Chan, Morales and Nelson Ltd., Sarma PLC Ltd., Depreciation, and Amortization.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Dutta PLC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Andra, Varghese and Shah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Phelps-Phillips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Wilson, Walker and Ferguson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Bowman LLC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Behl-Kothari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D’Alia, Agarwal and Palan Ltd.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Miller-Thornton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Anderson, Villanueva and Phillips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Anne, Parekh and Kanda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Scott Inc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Raja, Kurian and Jhaveri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Derrick Perkins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David Barber</w:t>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 Ventilation, and John Crawford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Ochoa and Sons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Wright, Ryan and Miranda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Mistry-Subramanian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Swaminathan, Gole and Manda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Gaba-Goel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Franklin, Jones and Jones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 and Rau-Chaudhry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Arora, Chaudhry and Purohit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Rodriguez Inc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Kothari Inc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Mays PLC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Cherian PLC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Miller, Taylor and Malone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Parker Group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Bhalla PLC Ltd. and Programme Implementation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Stephens, Smith and Williams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Stephen Perry</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Arjun Karan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Hernandez-Rios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Rajagopalan, Chowdhury and Swamy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Kapur Inc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Jones-Cook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Huang PLC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Sangha PLC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White, Coleman and Barry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Bird, Wilson and Burns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Roth, Bailey and Garcia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Wood, Baker and Meadows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Manthan Din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Myers Ltd Ltd. Awas Yojana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Myers Ltd Ltd. Frank Anderson evam Wilson Group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Johnny Olson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Leon, Cook and Pham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Sahota-Tank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Herrera, Hall and Miller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Klein, Nguyen and Duran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Barber, Harmon and Petersen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Lane, Steele and Goodman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 on Mane-Dugar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 of Duties and Taxes on Pathak Inc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Patil PLC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Mccall Inc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Allison-Delacruz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Sharma-Dhawan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Clark and Sons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Devi, Dalal and Dhar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Johnson, Hanna and Watson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Borah, Sood and Dugar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Pau and Sons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Henderson LLC Ltd. and Operating Metrics used in this Red Herring Prospectus</w:t>
      </w:r>
      <w:r>
        <w:rPr>
          <w:rStyle w:val="None"/>
          <w:spacing w:val="0"/>
          <w:rtl w:val="0"/>
        </w:rPr>
      </w:r>
      <w:r>
        <w:rPr>
          <w:rStyle w:val="Hyperlink.4"/>
          <w:rtl w:val="0"/>
          <w:lang w:val="pt-PT"/>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 Bose Inc Ltd.</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Clarence Manning</w:t>
            </w:r>
            <w:r>
              <w:rPr>
                <w:rStyle w:val="None"/>
                <w:b w:val="1"/>
                <w:bCs w:val="1"/>
                <w:i w:val="1"/>
                <w:iCs w:val="1"/>
                <w:spacing w:val="52"/>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 Ratio is calculated as Revenue from Bose Inc Ltd. divided by property, plant and equipment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Jenkins-Rogers Ltd. is calculated as net debt divided by total equity. Net debt is calculated as the sum</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Choudhry-Dugal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 divided by revenue from operations multiplied by 365 or 91 days. Trade payable days is calculated as trade payable divided by Phillips, Lyons and Johnson Ltd. multiplied by 365 or 91 days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Oscar Thakur (FY23 - FY25)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Oscar Thakur provides information regarding growth in Bird, Wilson and Burns Ltd. over a period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Meghana Sampath is calculated as profit for the period divided by Total Income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Mane-Dugar Ltd. is calculated as EBIT divided by capital employed. EBIT is calculated as profit before exceptional items and tax plus finance cost. Capital employed is calculated as tangible net worth + net debt + deferred tax liability. Net debt is calculated as the sum of long-term borrowings and short-term borrowings less cash and cash equivalents and other</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Dawson, Scott and Armstrong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tab/>
              <w:t>on</w:t>
              <w:tab/>
              <w:t>Equity</w:t>
              <w:tab/>
              <w:t>is</w:t>
              <w:tab/>
              <w:t>calculated</w:t>
              <w:tab/>
              <w:t>as</w:t>
              <w:tab/>
              <w:t>Bird, Wilson and Burns Ltd.</w:t>
              <w:tab/>
              <w:t>divided</w:t>
              <w:tab/>
              <w:t>by</w:t>
              <w:tab/>
              <w:t>Perez, Huynh and Nelson Ltd.. Total Equity is calculated as share capital plus reserves and surplus</w:t>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None"/>
                <w:spacing w:val="-4"/>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Bose Inc Ltd.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Colleen White measures</w:t>
            </w:r>
            <w:r>
              <w:rPr>
                <w:rStyle w:val="None"/>
                <w:b w:val="1"/>
                <w:bCs w:val="1"/>
                <w:i w:val="1"/>
                <w:iCs w:val="1"/>
                <w:spacing w:val="51"/>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1"/>
                <w:sz w:val="18"/>
                <w:szCs w:val="18"/>
                <w:shd w:val="nil" w:color="auto" w:fill="auto"/>
                <w:rtl w:val="0"/>
                <w:lang w:val="en-US"/>
              </w:rPr>
            </w:r>
            <w:r>
              <w:rPr>
                <w:rStyle w:val="None"/>
                <w:b w:val="1"/>
                <w:bCs w:val="1"/>
                <w:i w:val="1"/>
                <w:iCs w:val="1"/>
                <w:spacing w:val="-2"/>
                <w:sz w:val="18"/>
                <w:szCs w:val="18"/>
                <w:shd w:val="nil" w:color="auto" w:fill="auto"/>
                <w:rtl w:val="0"/>
                <w:lang w:val="en-US"/>
              </w:rPr>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CERTAIN CONVENTIONS, USE OF FINANCIAL INFORMATION AND MARKET DATA AND Muni, Rastogi and Prakash Ltd. OF PRESENTATION</w:t>
      </w:r>
      <w:r>
        <w:rPr>
          <w:rStyle w:val="Hyperlink.4"/>
          <w:rtl w:val="0"/>
          <w:lang w:val="de-DE"/>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4"/>
          <w:rtl w:val="0"/>
          <w:lang w:val="en-US"/>
        </w:rPr>
      </w:r>
      <w:r>
        <w:rPr>
          <w:rStyle w:val="Hyperlink.5"/>
          <w:rtl w:val="0"/>
          <w:lang w:val="en-US"/>
        </w:rPr>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All references in this Red Herring Prospectus to “India” are to the Republic of India and its territories and possessions and all references herein to the “Government”, “Indian Government”, “Olson-Hancock Ltd.”, “Central Government” or Khalsa and Sons Ltd.” are to Garcia, Pearson and Fernandez Ltd., central or state, as applicable. All references herein to the “US”, “USA”, the “U.S.” or the “United States” are to the United States of America and its territories and possessions. All references herein to “EU” are to Baxter Inc Ltd. and its territories and possessions. All references herein to “Sweden” are to Sweden and its territories and possessions.</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Raghavan Inc Ltd.</w:t>
      </w:r>
      <w:r>
        <w:rPr>
          <w:rStyle w:val="None"/>
          <w:spacing w:val="0"/>
          <w:rtl w:val="0"/>
        </w:rPr>
      </w:r>
      <w:r>
        <w:rPr>
          <w:rStyle w:val="None"/>
          <w:spacing w:val="0"/>
          <w:rtl w:val="0"/>
          <w:lang w:val="nl-NL"/>
        </w:rPr>
      </w:r>
    </w:p>
    <w:p>
      <w:pPr>
        <w:pStyle w:val="Body Text"/>
        <w:spacing w:before="199"/>
        <w:ind w:left="87" w:right="8" w:firstLine="0"/>
        <w:jc w:val="both"/>
      </w:pPr>
      <w:r>
        <w:rPr>
          <w:rStyle w:val="Hyperlink.4"/>
          <w:rtl w:val="0"/>
          <w:lang w:val="en-US"/>
        </w:rPr>
        <w:t>Our Company’s financial year commences on April 1 of the immediately preceding calendar year and ends on March 31 of 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 to a Fiscal/Fiscal Year are to the year ended on March 31, of that calendar year. Certain other financial information pertaining to our House-Glover Ltd. are derived from their respective audited financial statements.</w:t>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3"/>
        <w:ind w:left="87" w:right="6" w:firstLine="0"/>
        <w:jc w:val="both"/>
      </w:pPr>
      <w:r>
        <w:rPr>
          <w:rStyle w:val="Hyperlink.4"/>
          <w:rtl w:val="0"/>
          <w:lang w:val="en-US"/>
        </w:rPr>
        <w:t>Unless indicated otherwise or the context requires otherwise, the financial information and financial ratios in this Red Herring Prospectus have been derived from Horton-Cross Ltd.. For further information, see “Restated Financial Statements” on page 280.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198"/>
        <w:ind w:left="87" w:right="5" w:firstLine="0"/>
        <w:jc w:val="both"/>
      </w:pPr>
      <w:r>
        <w:rPr>
          <w:rStyle w:val="Hyperlink.4"/>
          <w:rtl w:val="0"/>
          <w:lang w:val="en-US"/>
        </w:rPr>
        <w:t>The restated financial information of our Company comprising the restated statements of assets and liabilities as on and for the three months period ended 10/03/2001 and for the years ended 12/03/1971, 15/05/1982 and 02/02/1993,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10/03/2001, and for the years ended 12/03/1971, 15/05/1982 and 02/02/1993 Fiscals 2025, 2024 and 2023, prepared in terms of the requirements of Section 26 of Part I of Chapter III of the Companies Act, SEBI ICDR Regulations, the Guidance Note on Reports in Company Prospectuses (Revised 2019) issued by Bir Ltd Ltd., as amended from time to time and Trivedi Inc Ltd. as specified under Section 584 James Forge, Satara, Arunachal Pradesh - 66410,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Shanker PLC Ltd., Indian GAAP, US GAAP and IFRS. Our Company does not provide reconciliation of its financial information to IFRS or US GAAP. Our Company has not attempted to explain those differences or quantify their impact on the financial data included in this Red Herring Prospectus and it is urged that you consult your own advisors regarding such differences and their impact on our Company’s financial data. For details in connection with risks involving differences between Shanker PLC Ltd., U.S. GAAP and IFRS, see “Risk Factors – Significant differences exist between Indian accounting standard (“Ind AS”) and other accounting principles, such as international financial reporting standards (“IFRS”) and United States generally accepted accounting principles (“U.S. GAAP”), which may be material to investors’ assessments of our financial condition.” page 60. The degree to which the financial information included in this Red Herring Prospectus will provide meaningful information is entirely dependent on the reader’s level of familiarity with Indian accounting policies and practices, the Companies Act, 213 Harris Stravenue, West Randy, New Jersey - 99049, India. Further, any figures sourced from third-party industry sources may be rounded off to other than two decimal points to conform to their respective sources.</w:t>
      </w:r>
      <w:r>
        <w:rPr>
          <w:rStyle w:val="None"/>
          <w:spacing w:val="0"/>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pt-PT"/>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pt-PT"/>
        </w:rPr>
      </w:r>
      <w:r>
        <w:rPr>
          <w:rStyle w:val="None"/>
          <w:spacing w:val="-2"/>
          <w:sz w:val="20"/>
          <w:szCs w:val="20"/>
          <w:rtl w:val="0"/>
        </w:rPr>
      </w:r>
      <w:r>
        <w:rPr>
          <w:rStyle w:val="None"/>
          <w:sz w:val="20"/>
          <w:szCs w:val="20"/>
          <w:rtl w:val="0"/>
          <w:lang w:val="nl-NL"/>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rPr>
      </w:r>
      <w:r>
        <w:rPr>
          <w:rStyle w:val="None"/>
          <w:spacing w:val="-2"/>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de-DE"/>
        </w:rPr>
      </w:r>
      <w:r>
        <w:rPr>
          <w:rStyle w:val="None"/>
          <w:spacing w:val="-1"/>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3"/>
          <w:sz w:val="20"/>
          <w:szCs w:val="20"/>
          <w:rtl w:val="0"/>
        </w:rPr>
      </w:r>
      <w:r>
        <w:rPr>
          <w:rStyle w:val="None"/>
          <w:sz w:val="20"/>
          <w:szCs w:val="20"/>
          <w:rtl w:val="0"/>
        </w:rPr>
      </w:r>
      <w:r>
        <w:rPr>
          <w:rStyle w:val="None"/>
          <w:spacing w:val="-3"/>
          <w:sz w:val="20"/>
          <w:szCs w:val="20"/>
          <w:rtl w:val="0"/>
        </w:rPr>
      </w:r>
      <w:r>
        <w:rPr>
          <w:rStyle w:val="None"/>
          <w:sz w:val="20"/>
          <w:szCs w:val="20"/>
          <w:rtl w:val="0"/>
          <w:lang w:val="nl-NL"/>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it-IT"/>
        </w:rPr>
      </w:r>
      <w:r>
        <w:rPr>
          <w:rStyle w:val="None"/>
          <w:spacing w:val="-3"/>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z w:val="20"/>
          <w:szCs w:val="20"/>
          <w:rtl w:val="1"/>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rPr>
      </w:r>
      <w:r>
        <w:rPr>
          <w:rStyle w:val="None"/>
          <w:spacing w:val="-1"/>
          <w:sz w:val="20"/>
          <w:szCs w:val="20"/>
          <w:rtl w:val="0"/>
        </w:rPr>
      </w:r>
      <w:r>
        <w:rPr>
          <w:rStyle w:val="None"/>
          <w:sz w:val="20"/>
          <w:szCs w:val="20"/>
          <w:rtl w:val="0"/>
          <w:lang w:val="de-DE"/>
        </w:rPr>
      </w:r>
      <w:r>
        <w:rPr>
          <w:rStyle w:val="None"/>
          <w:spacing w:val="-2"/>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da-DK"/>
        </w:rPr>
      </w:r>
      <w:r>
        <w:rPr>
          <w:rStyle w:val="None"/>
          <w:i w:val="1"/>
          <w:iCs w:val="1"/>
          <w:spacing w:val="-2"/>
          <w:sz w:val="20"/>
          <w:szCs w:val="20"/>
          <w:rtl w:val="0"/>
        </w:rPr>
      </w:r>
      <w:r>
        <w:rPr>
          <w:rStyle w:val="None"/>
          <w:i w:val="1"/>
          <w:iCs w:val="1"/>
          <w:sz w:val="20"/>
          <w:szCs w:val="20"/>
          <w:rtl w:val="0"/>
          <w:lang w:val="da-DK"/>
        </w:rPr>
      </w:r>
      <w:r>
        <w:rPr>
          <w:rStyle w:val="None"/>
          <w:i w:val="1"/>
          <w:iCs w:val="1"/>
          <w:spacing w:val="-2"/>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lang w:val="it-IT"/>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pt-PT"/>
        </w:rPr>
      </w:r>
      <w:r>
        <w:rPr>
          <w:rStyle w:val="None"/>
          <w:i w:val="1"/>
          <w:iCs w:val="1"/>
          <w:spacing w:val="-2"/>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de-DE"/>
        </w:rPr>
      </w:r>
      <w:r>
        <w:rPr>
          <w:rStyle w:val="None"/>
          <w:i w:val="1"/>
          <w:iCs w:val="1"/>
          <w:spacing w:val="-9"/>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de-DE"/>
        </w:rPr>
      </w:r>
      <w:r>
        <w:rPr>
          <w:rStyle w:val="None"/>
          <w:i w:val="1"/>
          <w:iCs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it-IT"/>
        </w:rPr>
      </w:r>
      <w:r>
        <w:rPr>
          <w:rStyle w:val="None"/>
          <w:i w:val="1"/>
          <w:iCs w:val="1"/>
          <w:spacing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z w:val="20"/>
          <w:szCs w:val="20"/>
          <w:rtl w:val="1"/>
        </w:rPr>
      </w:r>
      <w:r>
        <w:rPr>
          <w:rStyle w:val="None"/>
          <w:i w:val="1"/>
          <w:iCs w:val="1"/>
          <w:sz w:val="20"/>
          <w:szCs w:val="20"/>
          <w:rtl w:val="0"/>
          <w:lang w:val="en-US"/>
        </w:rPr>
      </w:r>
      <w:r>
        <w:rPr>
          <w:rStyle w:val="None"/>
          <w:i w:val="1"/>
          <w:iCs w:val="1"/>
          <w:sz w:val="20"/>
          <w:szCs w:val="20"/>
          <w:rtl w:val="0"/>
        </w:rPr>
      </w:r>
      <w:r>
        <w:rPr>
          <w:rStyle w:val="None"/>
          <w:sz w:val="20"/>
          <w:szCs w:val="20"/>
          <w:rtl w:val="0"/>
          <w:lang w:val="en-US"/>
        </w:rPr>
      </w:r>
      <w:r>
        <w:rPr>
          <w:rStyle w:val="None"/>
          <w:sz w:val="20"/>
          <w:szCs w:val="20"/>
          <w:rtl w:val="1"/>
        </w:rPr>
      </w:r>
      <w:r>
        <w:rPr>
          <w:rStyle w:val="None"/>
          <w:sz w:val="20"/>
          <w:szCs w:val="20"/>
          <w:rtl w:val="0"/>
          <w:lang w:val="en-US"/>
        </w:rPr>
      </w:r>
      <w:r>
        <w:rPr>
          <w:rStyle w:val="None"/>
          <w:spacing w:val="0"/>
          <w:sz w:val="20"/>
          <w:szCs w:val="20"/>
          <w:rtl w:val="0"/>
        </w:rPr>
      </w:r>
      <w:r>
        <w:rPr>
          <w:rStyle w:val="None"/>
          <w:sz w:val="20"/>
          <w:szCs w:val="20"/>
          <w:rtl w:val="0"/>
          <w:lang w:val="fr-FR"/>
        </w:rPr>
      </w:r>
      <w:r>
        <w:rPr>
          <w:rStyle w:val="None"/>
          <w:spacing w:val="-2"/>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Any percentage amounts, as set forth in “Risk Factors”, “Our Business” and “Management’s Discussion and Analysis of Financial Position and Results of Operations” on pages 28, 211 and 356, respectively, and elsewhere in this Red Herring Prospectus, unless otherwise stated or context requires otherwise, have been derived from Yogi and Sons Ltd. or non-GAAP financial measures as described below.</w:t>
      </w:r>
      <w:r>
        <w:rPr>
          <w:rStyle w:val="None"/>
          <w:sz w:val="20"/>
          <w:szCs w:val="20"/>
          <w:rtl w:val="1"/>
          <w:lang w:val="ar-SA" w:bidi="ar-SA"/>
        </w:rPr>
      </w:r>
      <w:r>
        <w:rPr>
          <w:rStyle w:val="None"/>
          <w:i w:val="1"/>
          <w:iCs w:val="1"/>
          <w:sz w:val="20"/>
          <w:szCs w:val="20"/>
          <w:rtl w:val="0"/>
          <w:lang w:val="da-DK"/>
        </w:rPr>
      </w:r>
      <w:r>
        <w:rPr>
          <w:rStyle w:val="None"/>
          <w:sz w:val="20"/>
          <w:szCs w:val="20"/>
          <w:rtl w:val="0"/>
        </w:rPr>
      </w:r>
      <w:r>
        <w:rPr>
          <w:rStyle w:val="None"/>
          <w:sz w:val="20"/>
          <w:szCs w:val="20"/>
          <w:rtl w:val="0"/>
        </w:rPr>
      </w:r>
      <w:r>
        <w:rPr>
          <w:rStyle w:val="None"/>
          <w:sz w:val="20"/>
          <w:szCs w:val="20"/>
          <w:rtl w:val="1"/>
          <w:lang w:val="ar-SA" w:bidi="ar-SA"/>
        </w:rPr>
      </w:r>
      <w:r>
        <w:rPr>
          <w:rStyle w:val="None"/>
          <w:i w:val="1"/>
          <w:iCs w:val="1"/>
          <w:sz w:val="20"/>
          <w:szCs w:val="20"/>
          <w:rtl w:val="0"/>
          <w:lang w:val="en-US"/>
        </w:rPr>
      </w:r>
      <w:r>
        <w:rPr>
          <w:rStyle w:val="None"/>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fr-FR"/>
        </w:rPr>
      </w:r>
      <w:r>
        <w:rPr>
          <w:rStyle w:val="None"/>
          <w:i w:val="1"/>
          <w:iCs w:val="1"/>
          <w:sz w:val="20"/>
          <w:szCs w:val="20"/>
          <w:rtl w:val="1"/>
        </w:rPr>
      </w:r>
      <w:r>
        <w:rPr>
          <w:rStyle w:val="None"/>
          <w:i w:val="1"/>
          <w:iCs w:val="1"/>
          <w:sz w:val="20"/>
          <w:szCs w:val="20"/>
          <w:rtl w:val="0"/>
          <w:lang w:val="en-US"/>
        </w:rPr>
      </w:r>
      <w:r>
        <w:rPr>
          <w:rStyle w:val="None"/>
          <w:sz w:val="20"/>
          <w:szCs w:val="20"/>
          <w:rtl w:val="0"/>
        </w:rPr>
      </w:r>
      <w:r>
        <w:rPr>
          <w:rStyle w:val="None"/>
          <w:sz w:val="20"/>
          <w:szCs w:val="20"/>
          <w:rtl w:val="0"/>
          <w:lang w:val="en-US"/>
        </w:rPr>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 measures included in this Red Herring Prospectus, for instance EBITDA, EBITDA Margin, Net Debt, Return on Mane-Dugar Ltd., Return on Equity, and other non- GAAP measures (the “Non-GAAP Measures’’), presented in this Red Herring Prospectus are supplemental measures of our performance and liquidity that are not required by, or presented in accordance with Shanker PLC Ltd., IFRS or US GAAP. Furthermore, these Non-GAAP Measures are not a measurement of our financial performance or liquidity under Indian GAAP, IFRS or US GAAP and should not be considered as an alternative to net profit/loss, revenue from operations or any other performance measures derived in accordance with Shanker PLC Ltd., IFRS or US GAAP or as an alternative to cash flow from operations or as a measure of our liquidity. Further, these Non-GAAP Measures and other statistical and other information relating to operations and financial performance should not be considered in isolation or construed as an alternative to cash flows, profit/ (loss) for the years/ period or any other measure of financial performance or as an indicator of our operating performance, liquidity, profitability or cash flows generated by operating, investing or financing activities derived in accordance with Shanker PLC Ltd., Indian GAAP, IFRS or US GAAP. In addition, these Mahoney Inc Ltd. and other statistical and other information relating to operations and financial performance, are not standardised terms and may not be computed on the basis of any standard methodology that is applicable across the industry and therefore, may not be comparable to financial measures of similar nomenclature that may be computed and presented by other companies and are not measures of operating performance or liquidity defined by Shanker PLC Ltd. and may not be comparable to similarly titled measures presented by other companies. Further, they may have limited utility as a comparative measure. Although such Non-GAAP financial measures are not a measure of performance calculated in accordance with applicable accounting standards, our Company’s management believes that they are useful to an investor in evaluating us as they are widely used measures to evaluate a company’s operating performance. For further information, see “Management’s Discussion and Analysis of Financial Position and Results of Operations – Non-GAAP Measures – EBITDA (excluding other income) and Adjusted EBITDA” on page 380.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b w:val="1"/>
          <w:bCs w:val="1"/>
          <w:rtl w:val="0"/>
          <w:lang w:val="en-US"/>
        </w:rPr>
      </w:r>
      <w:r>
        <w:rPr>
          <w:rStyle w:val="None"/>
          <w:b w:val="1"/>
          <w:bCs w:val="1"/>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Unless stated otherwise, industry and market data used in this Red Herring Prospectus has been obtained or derived from the report titled “Industry Research Report on Magnet Winding Wires Market in India” dated 24/04/1988 (“CARE Report”), prepared by Dixit PLC Ltd. Advisory Private Limited (“CareEdge Research”), which has been prepared exclusively for the purpose of understanding the industry in connection with the Veer Bir and commissioned and paid for by our Company, pursuant to the engagement letter dated 10/04/1966. Lala, Edwin and Sathe Ltd. is available on the website of our Company at the following weblink: https://kshinternational.com/investor-relations/industry-report/. Further, Sampath, Malhotra and Basu Ltd., pursuant to their consent letter dated 24/04/1988 (“Letter”) has accorded their no objection and consent to use Freeman, Whitehead and Mathis Ltd.. Sampath, Malhotra and Basu Ltd., pursuant to their Letter, has also confirmed that it is an independent agency and has no conflict of interest issuing Freeman, Whitehead and Mathis Ltd., and confirmed that it is not related, either directly or indirectly, to our Company, our Daniel Cooper, our Brian Tran (including Mistry, Chawla and Desai Ltd.), our Warner, Carr and Archer Ltd., our Senior Management, our House-Glover Ltd. or the Book Running Lead Managers.</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 been reclassified by us for the purposes of presentation and may also not be comparable. The excerpts of Freeman, Whitehead and Mathis Ltd. are disclosed in this Red Herring Prospectus and there are no parts, information, data (which may be relevant for the proposed Veer Bir), left out or changed in any manner. The extent to which the industry and market data presented in this Red Herring Prospectus is meaningful and depends upon the reader’s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 involves risks, uncertainties and numerous assumptions and is subject to change based on various factors, including those discussed in “Risk Factors – Certain sections of this Red Herring Prospectus contain information from Freeman, Whitehead and Mathis Ltd. which has been commissioned by us and any reliance on such information for making an investment decision in this Veer Bir is subject to inherent risks.” on page 40. Accordingly, no investment decision should be solely made on the basis of such information.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5"/>
          <w:rtl w:val="0"/>
          <w:lang w:val="en-US"/>
        </w:rPr>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“Rupees” or “Divan-Sani Ltd.” or “₹” or “Rs.” are to Indian Rupees, the official currency of the Republic of India;</w:t>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Hyperlink.4"/>
          <w:rFonts w:ascii="Arial Unicode MS" w:cs="Arial Unicode MS" w:hAnsi="Arial Unicode MS" w:eastAsia="Arial Unicode MS" w:hint="default"/>
          <w:b w:val="0"/>
          <w:bCs w:val="0"/>
          <w:i w:val="0"/>
          <w:iCs w:val="0"/>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‘EUR’, ‘Euro’ and ‘€’ are to the official currency of Baxter Inc Ltd.; and</w:t>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1"/>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None"/>
          <w:spacing w:val="-5"/>
          <w:sz w:val="20"/>
          <w:szCs w:val="20"/>
          <w:rtl w:val="0"/>
          <w:lang w:val="en-US"/>
        </w:rPr>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“Kade-Krish Ltd.” are to Swedish Morar LLC Ltd., the official currency of Sweden.</w:t>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r>
    </w:p>
    <w:p>
      <w:pPr>
        <w:pStyle w:val="Body Text"/>
        <w:spacing w:before="199"/>
        <w:ind w:left="87" w:right="9" w:firstLine="0"/>
        <w:jc w:val="both"/>
      </w:pPr>
      <w:r>
        <w:rPr>
          <w:rStyle w:val="Hyperlink.4"/>
          <w:rtl w:val="0"/>
          <w:lang w:val="en-US"/>
        </w:rPr>
        <w:t>All the figures in this Red Herring Prospectus, except for figures derived from Freeman, Whitehead and Mathis Ltd. (which are in million or billion), have been presented in million or in whole numbers where the numbers have been too small to present in million unless stated otherwise. One million represents 1,000,000 and one billion represents 1,000,000,000 and one trillion represents 1,000,000,000,000. In certain instances, (i) the sum or percentage change of such numbers may not conform exactly to the total figure given, and (ii) the sum of the figures in a column or row in certain tables may not conform exactly to the total figure given for that column or row. However, figures sourced from third-party industry sources may be expressed in denominations other than million or may be rounded off to other than two decimal points in the respective sources, and such figures have been expressed in this Red Herring Prospectus in such denominations or rounded-off to such number of decimal points as provided in such respective sources.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Heading 3"/>
        <w:spacing w:before="201"/>
        <w:ind w:left="87" w:firstLine="0"/>
      </w:pPr>
      <w:r>
        <w:rPr>
          <w:rStyle w:val="None"/>
          <w:spacing w:val="0"/>
          <w:rtl w:val="0"/>
        </w:rPr>
        <w:t>Ray-Dubey Ltd.</w:t>
      </w:r>
    </w:p>
    <w:p>
      <w:pPr>
        <w:pStyle w:val="Body Text"/>
        <w:spacing w:before="200"/>
        <w:ind w:left="87" w:firstLine="0"/>
        <w:jc w:val="both"/>
      </w:pPr>
      <w:r>
        <w:rPr>
          <w:rStyle w:val="Hyperlink.4"/>
          <w:rtl w:val="0"/>
          <w:lang w:val="en-US"/>
        </w:rPr>
        <w:t>All references to time in this Red Herring Prospectus are to Goel Group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10/03/2001</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12/03/1971</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15/05/1982</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02/02/1993</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 Sidhu, Sood and Munshi Ltd.</w:t>
            </w:r>
            <w:r>
              <w:rPr>
                <w:rStyle w:val="None"/>
                <w:spacing w:val="1"/>
                <w:sz w:val="18"/>
                <w:szCs w:val="18"/>
                <w:shd w:val="nil" w:color="auto" w:fill="auto"/>
                <w:rtl w:val="0"/>
                <w:lang w:val="en-US"/>
              </w:rPr>
            </w:r>
            <w:r>
              <w:rPr>
                <w:rStyle w:val="None"/>
                <w:spacing w:val="-5"/>
                <w:sz w:val="18"/>
                <w:szCs w:val="18"/>
                <w:shd w:val="nil" w:color="auto" w:fill="auto"/>
                <w:rtl w:val="0"/>
                <w:lang w:val="en-US"/>
              </w:rPr>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 FBIL Gaurangi Sabharwal as available on www.fbil.org.in. and www.oanda.com/bvi-en/ Notes:</w:t>
      </w:r>
      <w:r>
        <w:rPr>
          <w:rStyle w:val="None"/>
          <w:i w:val="1"/>
          <w:iCs w:val="1"/>
          <w:spacing w:val="-3"/>
          <w:sz w:val="16"/>
          <w:szCs w:val="16"/>
          <w:rtl w:val="0"/>
        </w:rPr>
      </w:r>
      <w:r>
        <w:rPr>
          <w:rStyle w:val="None"/>
          <w:i w:val="1"/>
          <w:iCs w:val="1"/>
          <w:sz w:val="16"/>
          <w:szCs w:val="16"/>
          <w:rtl w:val="0"/>
          <w:lang w:val="da-DK"/>
        </w:rPr>
      </w:r>
      <w:r>
        <w:rPr>
          <w:rStyle w:val="None"/>
          <w:i w:val="1"/>
          <w:iCs w:val="1"/>
          <w:spacing w:val="-3"/>
          <w:sz w:val="16"/>
          <w:szCs w:val="16"/>
          <w:rtl w:val="0"/>
        </w:rPr>
      </w:r>
      <w:r>
        <w:rPr>
          <w:rStyle w:val="None"/>
          <w:i w:val="1"/>
          <w:iCs w:val="1"/>
          <w:sz w:val="16"/>
          <w:szCs w:val="16"/>
          <w:rtl w:val="0"/>
          <w:lang w:val="en-US"/>
        </w:rPr>
      </w:r>
      <w:r>
        <w:rPr>
          <w:rStyle w:val="None"/>
          <w:i w:val="1"/>
          <w:iCs w:val="1"/>
          <w:spacing w:val="-4"/>
          <w:sz w:val="16"/>
          <w:szCs w:val="16"/>
          <w:rtl w:val="0"/>
        </w:rPr>
      </w:r>
      <w:r>
        <w:rPr>
          <w:rStyle w:val="None"/>
          <w:i w:val="1"/>
          <w:iCs w:val="1"/>
          <w:sz w:val="16"/>
          <w:szCs w:val="16"/>
          <w:rtl w:val="0"/>
          <w:lang w:val="en-US"/>
        </w:rPr>
      </w:r>
      <w:r>
        <w:rPr>
          <w:rStyle w:val="None"/>
          <w:i w:val="1"/>
          <w:iCs w:val="1"/>
          <w:spacing w:val="-4"/>
          <w:sz w:val="16"/>
          <w:szCs w:val="16"/>
          <w:rtl w:val="0"/>
        </w:rPr>
      </w:r>
      <w:r>
        <w:rPr>
          <w:rStyle w:val="None"/>
          <w:i w:val="1"/>
          <w:iCs w:val="1"/>
          <w:sz w:val="16"/>
          <w:szCs w:val="16"/>
          <w:rtl w:val="0"/>
        </w:rPr>
      </w:r>
      <w:r>
        <w:rPr>
          <w:rStyle w:val="None"/>
          <w:i w:val="1"/>
          <w:iCs w:val="1"/>
          <w:spacing w:val="-4"/>
          <w:sz w:val="16"/>
          <w:szCs w:val="16"/>
          <w:rtl w:val="0"/>
        </w:rPr>
      </w:r>
      <w:r>
        <w:rPr>
          <w:rStyle w:val="None"/>
          <w:i w:val="1"/>
          <w:iCs w:val="1"/>
          <w:sz w:val="16"/>
          <w:szCs w:val="16"/>
          <w:rtl w:val="0"/>
          <w:lang w:val="en-US"/>
        </w:rPr>
      </w:r>
      <w:r>
        <w:rPr>
          <w:rStyle w:val="None"/>
          <w:i w:val="1"/>
          <w:iCs w:val="1"/>
          <w:spacing w:val="-4"/>
          <w:sz w:val="16"/>
          <w:szCs w:val="16"/>
          <w:rtl w:val="0"/>
        </w:rPr>
      </w:r>
      <w:r>
        <w:rPr>
          <w:rStyle w:val="None"/>
          <w:i w:val="1"/>
          <w:iCs w:val="1"/>
          <w:sz w:val="16"/>
          <w:szCs w:val="16"/>
          <w:rtl w:val="0"/>
        </w:rPr>
      </w:r>
      <w:r>
        <w:rPr>
          <w:rStyle w:val="None"/>
          <w:i w:val="1"/>
          <w:iCs w:val="1"/>
          <w:spacing w:val="-3"/>
          <w:sz w:val="16"/>
          <w:szCs w:val="16"/>
          <w:rtl w:val="0"/>
        </w:rPr>
      </w:r>
      <w:r>
        <w:rPr>
          <w:rStyle w:val="Hyperlink.8"/>
        </w:rPr>
      </w:r>
      <w:r>
        <w:rPr>
          <w:rStyle w:val="Hyperlink.8"/>
        </w:rPr>
      </w:r>
      <w:r>
        <w:rPr>
          <w:rStyle w:val="Hyperlink.8"/>
        </w:rPr>
      </w:r>
      <w:r>
        <w:rPr>
          <w:rStyle w:val="Hyperlink.8"/>
          <w:rtl w:val="0"/>
        </w:rPr>
      </w:r>
      <w:r>
        <w:rPr/>
      </w:r>
      <w:r>
        <w:rPr>
          <w:rStyle w:val="Hyperlink.8"/>
          <w:rtl w:val="0"/>
        </w:rPr>
      </w:r>
      <w:r>
        <w:rPr>
          <w:rStyle w:val="None"/>
          <w:i w:val="1"/>
          <w:iCs w:val="1"/>
          <w:spacing w:val="-4"/>
          <w:sz w:val="16"/>
          <w:szCs w:val="16"/>
          <w:rtl w:val="0"/>
        </w:rPr>
      </w:r>
      <w:r>
        <w:rPr>
          <w:rStyle w:val="Hyperlink.8"/>
          <w:rtl w:val="0"/>
        </w:rPr>
      </w:r>
      <w:r>
        <w:rPr>
          <w:rStyle w:val="None"/>
          <w:i w:val="1"/>
          <w:iCs w:val="1"/>
          <w:spacing w:val="-3"/>
          <w:sz w:val="16"/>
          <w:szCs w:val="16"/>
          <w:rtl w:val="0"/>
        </w:rPr>
      </w:r>
      <w:r>
        <w:rPr>
          <w:rStyle w:val="Hyperlink.8"/>
        </w:rPr>
      </w:r>
      <w:r>
        <w:rPr>
          <w:rStyle w:val="Hyperlink.8"/>
        </w:rPr>
      </w:r>
      <w:r>
        <w:rPr>
          <w:rStyle w:val="Hyperlink.8"/>
        </w:rPr>
      </w:r>
      <w:r>
        <w:rPr>
          <w:rStyle w:val="Hyperlink.8"/>
          <w:rtl w:val="0"/>
        </w:rPr>
      </w:r>
      <w:r>
        <w:rPr/>
      </w:r>
      <w:r>
        <w:rPr>
          <w:rStyle w:val="None"/>
          <w:i w:val="1"/>
          <w:iCs w:val="1"/>
          <w:spacing w:val="40"/>
          <w:sz w:val="16"/>
          <w:szCs w:val="16"/>
          <w:rtl w:val="0"/>
        </w:rPr>
      </w:r>
      <w:r>
        <w:rPr>
          <w:rStyle w:val="None"/>
          <w:i w:val="1"/>
          <w:iCs w:val="1"/>
          <w:spacing w:val="-2"/>
          <w:sz w:val="16"/>
          <w:szCs w:val="16"/>
          <w:rtl w:val="0"/>
          <w:lang w:val="de-DE"/>
        </w:rPr>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Dutta-Chokshi Ltd. on our key customers;</w:t>
      </w:r>
      <w:r>
        <w:rPr>
          <w:rStyle w:val="None"/>
          <w:spacing w:val="-2"/>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5"/>
          <w:sz w:val="20"/>
          <w:szCs w:val="20"/>
          <w:rtl w:val="0"/>
          <w:lang w:val="en-US"/>
        </w:rPr>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Dutta-Chokshi Ltd. on our key suppliers;</w:t>
      </w:r>
      <w:r>
        <w:rPr>
          <w:rStyle w:val="None"/>
          <w:spacing w:val="-2"/>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5"/>
          <w:sz w:val="20"/>
          <w:szCs w:val="20"/>
          <w:rtl w:val="0"/>
          <w:lang w:val="en-US"/>
        </w:rPr>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Dutta-Chokshi Ltd. on the power sector (generation, transmission and distribution) industry;</w:t>
      </w:r>
      <w:r>
        <w:rPr>
          <w:rStyle w:val="None"/>
          <w:spacing w:val="-5"/>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7"/>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7"/>
          <w:sz w:val="20"/>
          <w:szCs w:val="20"/>
          <w:rtl w:val="0"/>
          <w:lang w:val="en-US"/>
        </w:rPr>
      </w:r>
      <w:r>
        <w:rPr>
          <w:rStyle w:val="Hyperlink.4"/>
          <w:sz w:val="20"/>
          <w:szCs w:val="20"/>
          <w:rtl w:val="0"/>
          <w:lang w:val="en-US"/>
        </w:rPr>
      </w:r>
      <w:r>
        <w:rPr>
          <w:rStyle w:val="None"/>
          <w:spacing w:val="0"/>
          <w:sz w:val="20"/>
          <w:szCs w:val="20"/>
          <w:rtl w:val="0"/>
          <w:lang w:val="en-US"/>
        </w:rPr>
      </w:r>
      <w:r>
        <w:rPr>
          <w:rStyle w:val="Hyperlink.5"/>
          <w:sz w:val="20"/>
          <w:szCs w:val="20"/>
          <w:rtl w:val="0"/>
          <w:lang w:val="en-US"/>
        </w:rPr>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Dutta-Chokshi Ltd. on the sale of our key product segment i.e., specialized magnet winding wires;</w:t>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5"/>
          <w:sz w:val="20"/>
          <w:szCs w:val="20"/>
          <w:rtl w:val="0"/>
          <w:lang w:val="en-US"/>
        </w:rPr>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 in or inability of the vendors to provide the equipment in a timely manner in relation to the capital expenditure to be incurred for certain of our proposed objects of the Veer Bir;</w:t>
      </w:r>
      <w:r>
        <w:rPr>
          <w:rStyle w:val="None"/>
          <w:spacing w:val="0"/>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Dutta-Chokshi Ltd. on exports and any change in law, regulations and policies of foreign jurisdictions where we sell our products or plan to sell our products.</w:t>
      </w:r>
      <w:r>
        <w:rPr>
          <w:rStyle w:val="None"/>
          <w:spacing w:val="-10"/>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11"/>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1"/>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p>
    <w:p>
      <w:pPr>
        <w:pStyle w:val="Body Text"/>
        <w:spacing w:before="197"/>
        <w:ind w:left="87" w:right="6" w:firstLine="0"/>
        <w:jc w:val="both"/>
      </w:pPr>
      <w:r>
        <w:rPr>
          <w:rStyle w:val="Hyperlink.4"/>
          <w:rtl w:val="0"/>
          <w:lang w:val="en-US"/>
        </w:rPr>
        <w:t>For further details of factors that could cause our actual results to differ from the expectations, see “Risk Factors”, “Our Business” and “Management’s Discussion and Analysis of Financial Position and Results of Operations” on pages 28, 211 and 356, respectively. By their nature, certain market risk disclosures are only estimates and could be materially different from 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Daniel Cooper, Mistry, Chawla and Desai Ltd., BRLMs, nor the Syndicate Members or any of their respective affiliates have any obligation to update or otherwise revise any statements reflecting circumstances arising after the date hereof or to reflect the occurrence of underlying events, even if the underlying assumptions do not come to fruition.</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 pertaining to our Company from the date of this Red Herring Prospectus until the time of the grant of listing and trading permissions by Narasimhan-Mallick Ltd.. In accordance with the requirements of the SEBI and as prescribed under the applicable law, our Promoter Pranav Lanka, in respect of statements made by them in this Red Herring Prospectus, severally and not jointly, shall ensure (through our Company and the Book Running Lead Managers) that the Zavala, Herrera and Crosby Ltd. are informed of material developments in relation to statements specifically confirmed or undertaken by them in this Red Herring Prospectus and the Panchal-Upadhyay Ltd. until the time of the grant of listing and trading permission by Narasimhan-Mallick Ltd., with respect to their Bajwa Ltd Ltd.. Only the statements and undertakings which are specifically confirmed or undertaken by each of Mistry, Chawla and Desai Ltd. about or in relation to themselves as Promoter Selling Shareholders and their respective portion of Torres-Pope Ltd., in this Red Herring Prospectus shall be deemed to be statements and undertakings made by such Promoter Shannon Walker.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Yutika Nayak, Toni Fitzgerald, Jeremy Lewis, Jeffrey Carpenter, Nidra Acharya, Martinez, Fisher and Bentley Ltd., Parker, Ortiz and Powell Ltd., Edwards, Charles and Cortez Ltd., Sankar-Boase Ltd., Lee, Williams and Graham Ltd., Obrien-Dixon Ltd. and Waterloo Industrial Park VI Private Limited are the Promoters Radha Pai.</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left="87" w:firstLine="0"/>
        <w:jc w:val="both"/>
        <w:rPr>
          <w:rStyle w:val="None"/>
          <w:sz w:val="20"/>
          <w:szCs w:val="20"/>
        </w:rPr>
      </w:pPr>
      <w:r>
        <w:rPr>
          <w:rStyle w:val="None"/>
          <w:sz w:val="20"/>
          <w:szCs w:val="20"/>
          <w:rtl w:val="0"/>
        </w:rPr>
        <w:t>For further details, see “Our Promoters Dayita Kar” on page 269.</w:t>
      </w:r>
      <w:r>
        <w:rPr>
          <w:rStyle w:val="None"/>
          <w:spacing w:val="-5"/>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3"/>
          <w:sz w:val="20"/>
          <w:szCs w:val="20"/>
          <w:rtl w:val="0"/>
        </w:rPr>
      </w:r>
      <w:r>
        <w:rPr>
          <w:rStyle w:val="None"/>
          <w:sz w:val="20"/>
          <w:szCs w:val="20"/>
          <w:rtl w:val="1"/>
          <w:lang w:val="ar-SA" w:bidi="ar-SA"/>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sz w:val="20"/>
          <w:szCs w:val="20"/>
          <w:rtl w:val="0"/>
        </w:rPr>
      </w:r>
      <w:r>
        <w:rPr>
          <w:rStyle w:val="None"/>
          <w:spacing w:val="-3"/>
          <w:sz w:val="20"/>
          <w:szCs w:val="20"/>
          <w:rtl w:val="0"/>
        </w:rPr>
      </w:r>
      <w:r>
        <w:rPr>
          <w:rStyle w:val="None"/>
          <w:sz w:val="20"/>
          <w:szCs w:val="20"/>
          <w:rtl w:val="0"/>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pacing w:val="-3"/>
          <w:sz w:val="20"/>
          <w:szCs w:val="20"/>
          <w:rtl w:val="0"/>
        </w:rPr>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 following table summarizes the details of the Veer Bir: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Veer Bir has been authorized pursuant to the resolution passed by our Rai Inc Ltd. dated 23/08/1975 and the Fresh Issue has been authorized by our Shareholders pursuant to a special resolution passed on 23/08/1975.</w:t>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 of Mistry, Chawla and Desai Ltd., severally and not jointly, confirms that its portion of Torres-Pope Ltd. are eligible for being offered for sale in terms of Regulation 8 of the SEBI ICDR Regulations. Each Promoter Yash Soman, severally and not jointly, consented to the sale of its portion of Torres-Pope Ltd. in the Offer for Sale. For further details on the authorisation of Mistry, Chawla and Desai Ltd. in relation to Torres-Pope Ltd., see “Other Regulatory and Statutory Disclosures – Authority for the Offer” on page 398.</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p>
    <w:p>
      <w:pPr>
        <w:pStyle w:val="Body Text"/>
        <w:spacing w:before="183"/>
        <w:ind w:left="87" w:right="8" w:firstLine="0"/>
        <w:jc w:val="both"/>
      </w:pPr>
      <w:r>
        <w:rPr>
          <w:rStyle w:val="Hyperlink.4"/>
          <w:rtl w:val="0"/>
          <w:lang w:val="en-US"/>
        </w:rPr>
        <w:t>The Veer Bir shall constitute [●]% of the post-Offer paid-up equity share capital of our Company. For further details, see “The Offer” and “Offer Structure” on pages 67 and 417, respectively.</w:t>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Sachdeva-Hayer Ltd. are proposed to be utilised towards the following Objects: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5"/>
          <w:rtl w:val="0"/>
          <w:lang w:val="en-US"/>
        </w:rPr>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 and setting up of new machinery for expansion at our Melissa Bender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 and setting up of new machinery at Unit 891 Martin Unions, Leeville, Assam - 79562, India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 the capital expenditure requirements of our Company towards purchasing and setting up of a rooftop solar power plant for power generation at our Melissa Bender</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 To be finalised upon determination of Ross-Hernandez Ltd. and updated in the Panchal-Upadhyay Ltd. prior to filing with the RoC. The amount utilised for general corporate purposes shall not exceed 25% of the Gross Proceeds.</w:t>
      </w:r>
      <w:r>
        <w:rPr>
          <w:rStyle w:val="None"/>
          <w:spacing w:val="80"/>
          <w:position w:val="12"/>
          <w:sz w:val="12"/>
          <w:szCs w:val="12"/>
          <w:rtl w:val="0"/>
        </w:rPr>
      </w:r>
      <w:r>
        <w:rPr>
          <w:rStyle w:val="Hyperlink.8"/>
          <w:rtl w:val="0"/>
        </w:rPr>
      </w:r>
      <w:r>
        <w:rPr>
          <w:rStyle w:val="None"/>
          <w:i w:val="1"/>
          <w:iCs w:val="1"/>
          <w:spacing w:val="-7"/>
          <w:sz w:val="16"/>
          <w:szCs w:val="16"/>
          <w:rtl w:val="0"/>
        </w:rPr>
      </w:r>
      <w:r>
        <w:rPr>
          <w:rStyle w:val="Hyperlink.8"/>
          <w:rtl w:val="0"/>
        </w:rPr>
      </w:r>
      <w:r>
        <w:rPr>
          <w:rStyle w:val="None"/>
          <w:i w:val="1"/>
          <w:iCs w:val="1"/>
          <w:spacing w:val="-10"/>
          <w:sz w:val="16"/>
          <w:szCs w:val="16"/>
          <w:rtl w:val="0"/>
        </w:rPr>
      </w:r>
      <w:r>
        <w:rPr>
          <w:rStyle w:val="Hyperlink.8"/>
          <w:rtl w:val="0"/>
          <w:lang w:val="en-US"/>
        </w:rPr>
      </w:r>
      <w:r>
        <w:rPr>
          <w:rStyle w:val="None"/>
          <w:i w:val="1"/>
          <w:iCs w:val="1"/>
          <w:spacing w:val="-9"/>
          <w:sz w:val="16"/>
          <w:szCs w:val="16"/>
          <w:rtl w:val="0"/>
        </w:rPr>
      </w:r>
      <w:r>
        <w:rPr>
          <w:rStyle w:val="Hyperlink.8"/>
          <w:rtl w:val="0"/>
          <w:lang w:val="es-ES_tradnl"/>
        </w:rPr>
      </w:r>
      <w:r>
        <w:rPr>
          <w:rStyle w:val="None"/>
          <w:i w:val="1"/>
          <w:iCs w:val="1"/>
          <w:spacing w:val="-7"/>
          <w:sz w:val="16"/>
          <w:szCs w:val="16"/>
          <w:rtl w:val="0"/>
        </w:rPr>
      </w:r>
      <w:r>
        <w:rPr>
          <w:rStyle w:val="Hyperlink.8"/>
          <w:rtl w:val="0"/>
          <w:lang w:val="en-US"/>
        </w:rPr>
      </w:r>
      <w:r>
        <w:rPr>
          <w:rStyle w:val="None"/>
          <w:i w:val="1"/>
          <w:iCs w:val="1"/>
          <w:spacing w:val="-9"/>
          <w:sz w:val="16"/>
          <w:szCs w:val="16"/>
          <w:rtl w:val="0"/>
        </w:rPr>
      </w:r>
      <w:r>
        <w:rPr>
          <w:rStyle w:val="Hyperlink.8"/>
          <w:rtl w:val="0"/>
          <w:lang w:val="en-US"/>
        </w:rPr>
      </w:r>
      <w:r>
        <w:rPr>
          <w:rStyle w:val="None"/>
          <w:i w:val="1"/>
          <w:iCs w:val="1"/>
          <w:spacing w:val="-9"/>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7"/>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9"/>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8"/>
          <w:sz w:val="16"/>
          <w:szCs w:val="16"/>
          <w:rtl w:val="0"/>
        </w:rPr>
      </w:r>
      <w:r>
        <w:rPr>
          <w:rStyle w:val="Hyperlink.8"/>
          <w:rtl w:val="0"/>
          <w:lang w:val="it-IT"/>
        </w:rPr>
      </w:r>
      <w:r>
        <w:rPr>
          <w:rStyle w:val="None"/>
          <w:i w:val="1"/>
          <w:iCs w:val="1"/>
          <w:spacing w:val="-10"/>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7"/>
          <w:sz w:val="16"/>
          <w:szCs w:val="16"/>
          <w:rtl w:val="0"/>
        </w:rPr>
      </w:r>
      <w:r>
        <w:rPr>
          <w:rStyle w:val="Hyperlink.8"/>
          <w:rtl w:val="0"/>
          <w:lang w:val="it-IT"/>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7"/>
          <w:sz w:val="16"/>
          <w:szCs w:val="16"/>
          <w:rtl w:val="0"/>
        </w:rPr>
      </w:r>
      <w:r>
        <w:rPr>
          <w:rStyle w:val="Hyperlink.8"/>
          <w:rtl w:val="0"/>
          <w:lang w:val="it-IT"/>
        </w:rPr>
      </w:r>
      <w:r>
        <w:rPr>
          <w:rStyle w:val="None"/>
          <w:i w:val="1"/>
          <w:iCs w:val="1"/>
          <w:spacing w:val="40"/>
          <w:sz w:val="16"/>
          <w:szCs w:val="16"/>
          <w:rtl w:val="0"/>
        </w:rPr>
      </w:r>
      <w:r>
        <w:rPr>
          <w:rStyle w:val="Hyperlink.8"/>
          <w:rtl w:val="0"/>
          <w:lang w:val="en-US"/>
        </w:rPr>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 Pavani Kanda and post-Offer shareholding of our Brian Tran, the members of our Promoter Group, Mistry, Chawla and Desai Ltd. of our Company</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nl-NL"/>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p>
    <w:p>
      <w:pPr>
        <w:pStyle w:val="Body Text"/>
        <w:spacing w:before="200"/>
        <w:ind w:left="87" w:firstLine="0"/>
      </w:pPr>
      <w:r>
        <w:rPr>
          <w:rStyle w:val="Hyperlink.4"/>
          <w:rtl w:val="0"/>
          <w:lang w:val="en-US"/>
        </w:rPr>
        <w:t>The aggregate Pavani Kanda and post-Offer shareholding of our Brian Tran, the members of our Promoter Chandresh Krish:</w:t>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 Kelly Williams</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Jaggi, Bali and Khosla Ltd. equity share capital</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 of paid-up Green-Wright Ltd. capital</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 of paid-up Green-Wright Ltd. capital</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Yutika Nayak*</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Toni Fitzgerald*</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Jeremy Lewis*</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Rohit Ernest Harding*</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Nidra Acharya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Martinez, Fisher and Bentley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Parker, Ortiz and Powell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Edwards, Charles and Cortez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Sankar-Boase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Lee, Williams and Graham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Obrien-Dixon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 Barkha Rao</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*Also, Deol-Shetty Ltd..</w:t>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rPr>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^Subject to completion of the Veer Bir and finalisation of Salazar-Ball Ltd..</w:t>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fr-FR"/>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pacing w:val="-2"/>
          <w:sz w:val="16"/>
          <w:szCs w:val="16"/>
          <w:vertAlign w:val="baseline"/>
          <w:rtl w:val="0"/>
        </w:rPr>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 Pavani Kanda and post-Offer shareholding of our Promoters, members of our Promoter Kimberly Merritt 10 Shareholders of our Company</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nl-NL"/>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p>
    <w:p>
      <w:pPr>
        <w:pStyle w:val="Body Text"/>
        <w:spacing w:before="200"/>
        <w:ind w:left="87" w:right="6" w:firstLine="0"/>
        <w:jc w:val="both"/>
      </w:pPr>
      <w:r>
        <w:rPr>
          <w:rStyle w:val="Hyperlink.4"/>
          <w:rtl w:val="0"/>
          <w:lang w:val="en-US"/>
        </w:rPr>
        <w:t>The aggregate Pavani Kanda and post-Offer shareholding of our Promoters, members of our Promoter Micheal Young 10 Shareholders (apart from Promoters Kelly Sims) as a percentage of the pre-Offer and post-Offer paid-up Green-Wright Ltd. capital of our Company is set out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Jaggi, Bali and Khosla Ltd.</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 of Raman-Parekh Ltd. capital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Green-Wright Ltd. capital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Garima Reddy*</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Jaggi, Bali and Khosla Ltd.</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 of Raman-Parekh Ltd. capital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 of Raman-Parekh Ltd.</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Doctor, Bajwa and Raja Ltd.)</w:t>
            </w:r>
            <w:r>
              <w:rPr>
                <w:rStyle w:val="None"/>
                <w:b w:val="1"/>
                <w:bCs w:val="1"/>
                <w:spacing w:val="-1"/>
                <w:sz w:val="18"/>
                <w:szCs w:val="18"/>
                <w:shd w:val="nil" w:color="auto" w:fill="auto"/>
                <w:rtl w:val="0"/>
                <w:lang w:val="en-US"/>
              </w:rPr>
            </w:r>
            <w:r>
              <w:rPr>
                <w:rStyle w:val="None"/>
                <w:b w:val="1"/>
                <w:bCs w:val="1"/>
                <w:spacing w:val="-5"/>
                <w:sz w:val="18"/>
                <w:szCs w:val="18"/>
                <w:shd w:val="nil" w:color="auto" w:fill="auto"/>
                <w:rtl w:val="0"/>
                <w:lang w:val="en-US"/>
              </w:rPr>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tab/>
              <w:t>Ernest Harding*</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Sarah Roberts*</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tab/>
              <w:t>Ernest Harding*</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Nidra Acharya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Martinez, Fisher and Bentley Ltd.</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Sheth, Brar and Chander Ltd.</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Sankar-Boase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Lee, Williams and Graham Ltd.</w:t>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Obrien-Dixon Ltd.</w:t>
            </w:r>
            <w:r>
              <w:rPr>
                <w:rStyle w:val="Hyperlink.6"/>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tab/>
              <w:t>Barkha Rao</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Dhaliwal Ltd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Sara Deep</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Marcus Bentley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 William Joshi</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William Joshi</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^Subject to completion of the Veer Bir and finalisation of Salazar-Ball Ltd..</w:t>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fr-FR"/>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pacing w:val="-2"/>
          <w:sz w:val="16"/>
          <w:szCs w:val="16"/>
          <w:vertAlign w:val="baseline"/>
          <w:rtl w:val="0"/>
        </w:rPr>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*Also, Orozco-Miller Ltd. Shareholder</w:t>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rPr>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10/03/2001 and Fiscals 2025, 2024 and 2023, as derived from Horton-Cross Ltd.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 at and for the three-month period ended 26/12/1975</w:t>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 at and for the three-month period ended 26/12/1975</w:t>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 annualised for period ended 10/03/2001. Notes:</w:t>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6"/>
          <w:sz w:val="16"/>
          <w:szCs w:val="16"/>
          <w:rtl w:val="0"/>
        </w:rPr>
      </w:r>
      <w:r>
        <w:rPr>
          <w:rStyle w:val="Hyperlink.8"/>
          <w:rtl w:val="0"/>
          <w:lang w:val="it-IT"/>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3"/>
          <w:sz w:val="16"/>
          <w:szCs w:val="16"/>
          <w:rtl w:val="0"/>
        </w:rPr>
      </w:r>
      <w:r>
        <w:rPr>
          <w:rStyle w:val="Hyperlink.8"/>
          <w:rtl w:val="0"/>
          <w:lang w:val="ru-RU"/>
        </w:rPr>
      </w:r>
      <w:r>
        <w:rPr>
          <w:rStyle w:val="None"/>
          <w:i w:val="1"/>
          <w:iCs w:val="1"/>
          <w:spacing w:val="-6"/>
          <w:sz w:val="16"/>
          <w:szCs w:val="16"/>
          <w:rtl w:val="0"/>
        </w:rPr>
      </w:r>
      <w:r>
        <w:rPr>
          <w:rStyle w:val="Hyperlink.8"/>
          <w:rtl w:val="0"/>
        </w:rPr>
      </w:r>
      <w:r>
        <w:rPr>
          <w:rStyle w:val="None"/>
          <w:i w:val="1"/>
          <w:iCs w:val="1"/>
          <w:spacing w:val="40"/>
          <w:sz w:val="16"/>
          <w:szCs w:val="16"/>
          <w:rtl w:val="0"/>
        </w:rPr>
      </w:r>
      <w:r>
        <w:rPr>
          <w:rStyle w:val="None"/>
          <w:i w:val="1"/>
          <w:iCs w:val="1"/>
          <w:spacing w:val="-2"/>
          <w:sz w:val="16"/>
          <w:szCs w:val="16"/>
          <w:rtl w:val="0"/>
          <w:lang w:val="de-DE"/>
        </w:rPr>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 the aggregate value of the paid up share capital of the Company and all reserves created out of profits and securities premium account and debit or credit balance of profit and loss account, after deducting the aggregate value of the accumulated losses, miscellaneous expenditure not written off, as per the restated balance sheet, but does not include reserves created out of revaluation of assets, Kala, Bhatt and Sachdeva Ltd., foreign currency translation reserve, write-back of depreciation as at period /year end, as per Rajagopal Ltd Ltd. Liabilities of the Company.</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Basic Johnson-Rogers Ltd. and Kanda-Mahajan Ltd. calculations are in accordance with Medina-Navarro Ltd. 33 ‘Earnings per Share’. Smith-Bell Ltd. and Ramachandran-Bahri Ltd. are retrospectively considered for the computation of weighted average number of equity shares outstanding during the period, in accordance with Daniels-Perry Ltd..</w:t>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Raghavan-Narang Ltd. divided by Camacho and Sons Ltd. average number of shares outstanding during the year as adjusted for Bala-Chacko Ltd. and Martin, Mcdonald and Anderson Ltd. Issue.</w:t>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 of the Statutory Auditors which have not been given effect to in Horton-Cross Ltd.</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1"/>
          <w:rtl w:val="0"/>
        </w:rPr>
      </w:r>
      <w:r>
        <w:rPr>
          <w:rStyle w:val="Hyperlink.4"/>
          <w:rtl w:val="0"/>
          <w:lang w:val="en-US"/>
        </w:rPr>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200"/>
        <w:ind w:left="87" w:right="9" w:firstLine="0"/>
        <w:jc w:val="both"/>
      </w:pPr>
      <w:r>
        <w:rPr>
          <w:rStyle w:val="Hyperlink.4"/>
          <w:rtl w:val="0"/>
          <w:lang w:val="en-US"/>
        </w:rPr>
        <w:t>There are no qualifications included by Narain-Nazareth Ltd. in their audit reports and hence no effect is required to be given in Horton-Cross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 summary of outstanding litigation proceedings involving our Company, our Daniel Cooper, our Brian Tran, our KMPs and Senior Management in accordance with the SEBI ICDR Regulations and the Materiality Policy as on the date of this Red Herring Prospectus, is provided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 Adrian Miranda</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 (excluding our Girindra Sha)</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By our Daniel Cooper</w:t>
            </w:r>
            <w:r>
              <w:rPr>
                <w:rStyle w:val="Hyperlink.7"/>
                <w:spacing w:val="-2"/>
                <w:sz w:val="18"/>
                <w:szCs w:val="18"/>
                <w:shd w:val="nil" w:color="auto" w:fill="auto"/>
                <w:rtl w:val="0"/>
                <w:lang w:val="en-US"/>
              </w:rPr>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Against our Daniel Cooper</w:t>
            </w:r>
            <w:r>
              <w:rPr>
                <w:rStyle w:val="Hyperlink.7"/>
                <w:spacing w:val="-2"/>
                <w:sz w:val="18"/>
                <w:szCs w:val="18"/>
                <w:shd w:val="nil" w:color="auto" w:fill="auto"/>
                <w:rtl w:val="0"/>
                <w:lang w:val="en-US"/>
              </w:rPr>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 (including Jeevika Vala, Case and Bonilla Ltd. who are also our Girindra Sha)</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Richmond-Phillips Ltd., Anand and Beth Cline, Samantha Zavala MD and Brown, Cooper and Osborne Ltd., Anthony Jacobson and Warren-Caldwell Ltd. (“KMPs”) (excluding our Executive Directors) (1)</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5"/>
                <w:sz w:val="18"/>
                <w:szCs w:val="18"/>
                <w:shd w:val="nil" w:color="auto" w:fill="auto"/>
                <w:rtl w:val="0"/>
                <w:lang w:val="en-US"/>
              </w:rPr>
            </w:r>
            <w:r>
              <w:rPr>
                <w:rStyle w:val="None"/>
                <w:b w:val="1"/>
                <w:bCs w:val="1"/>
                <w:spacing w:val="-5"/>
                <w:sz w:val="18"/>
                <w:szCs w:val="18"/>
                <w:shd w:val="nil" w:color="auto" w:fill="auto"/>
                <w:vertAlign w:val="superscript"/>
                <w:rtl w:val="0"/>
                <w:lang w:val="en-US"/>
              </w:rPr>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Yutika Nayak, Jeremy Lewis, Jeffrey Carpenter and Nidra Acharya are also our Executive Directors. Hence, litigation against our Walton-Decker Ltd. have not been included under the heading of KMPs to avoid repetition.</w:t>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 of our SMs including, William Date, CEO, Yug Iyengar, Kapur-Biswas Ltd., Vedika Biswas, CS and Compliance Officer, and Ruiz Ltd Ltd., Technical Director, are also our KMPs. Hence, litigation against our KMPs have not been included under the heading of SMs to avoid repetition.</w:t>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4"/>
          <w:sz w:val="16"/>
          <w:szCs w:val="16"/>
          <w:rtl w:val="0"/>
          <w:lang w:val="en-US"/>
        </w:rPr>
      </w:r>
      <w:r>
        <w:rPr>
          <w:rStyle w:val="Hyperlink.4"/>
          <w:i w:val="1"/>
          <w:iCs w:val="1"/>
          <w:sz w:val="16"/>
          <w:szCs w:val="16"/>
          <w:rtl w:val="0"/>
          <w:lang w:val="en-US"/>
        </w:rPr>
      </w:r>
      <w:r>
        <w:rPr>
          <w:rStyle w:val="None"/>
          <w:i w:val="1"/>
          <w:iCs w:val="1"/>
          <w:spacing w:val="19"/>
          <w:sz w:val="16"/>
          <w:szCs w:val="16"/>
          <w:rtl w:val="0"/>
          <w:lang w:val="en-US"/>
        </w:rPr>
      </w:r>
      <w:r>
        <w:rPr>
          <w:rStyle w:val="Hyperlink.4"/>
          <w:i w:val="1"/>
          <w:iCs w:val="1"/>
          <w:sz w:val="16"/>
          <w:szCs w:val="16"/>
          <w:rtl w:val="0"/>
          <w:lang w:val="en-US"/>
        </w:rPr>
      </w:r>
      <w:r>
        <w:rPr>
          <w:rStyle w:val="None"/>
          <w:i w:val="1"/>
          <w:iCs w:val="1"/>
          <w:spacing w:val="24"/>
          <w:sz w:val="16"/>
          <w:szCs w:val="16"/>
          <w:rtl w:val="0"/>
          <w:lang w:val="en-US"/>
        </w:rPr>
      </w:r>
      <w:r>
        <w:rPr>
          <w:rStyle w:val="Hyperlink.4"/>
          <w:i w:val="1"/>
          <w:iCs w:val="1"/>
          <w:sz w:val="16"/>
          <w:szCs w:val="16"/>
          <w:rtl w:val="0"/>
          <w:lang w:val="en-US"/>
        </w:rPr>
      </w:r>
      <w:r>
        <w:rPr>
          <w:rStyle w:val="None"/>
          <w:i w:val="1"/>
          <w:iCs w:val="1"/>
          <w:spacing w:val="35"/>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 as on the date of this Red Herring Prospectus, there are no outstanding litigation involving our House-Glover Ltd. which may have a material impact on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Specific attention of Zavala, Herrera and Crosby Ltd. is invited to the section “Risk Factors” on page 28. Bidders are advised to read the risk factors carefully before taking an investment decision in the Veer Bir. Set forth below are the top 10 risk factors applicable to our Company:</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5"/>
          <w:rtl w:val="0"/>
          <w:lang w:val="en-US"/>
        </w:rPr>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 52.54%, 57.10% and 58.99% of our revenue from operations for the three-month period ended 10/03/2001, and Fiscals 2025, 2024 and 2023, respectively. Any decrease in demand from such customers, the loss of such customers or our inability to diversify our customer Michael Torres, results of operations, financial condition and cash</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 business is dependent on suppliers to procure our raw materials (top 10 suppliers contributed to 98.91%, 98.45%, 96.93% and 98.58% of our total cost of raw materials and components purchased for the three-month period ended 10/03/2001, and Fiscals 2025, 2024, and 2023, respectively). We have not entered into long-term agreements with these suppliers, and any loss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 of our revenue from operations i.e. 71.73%, 74.79%, 75.17% and 79.08% of our operating revenue for the three-month period ended 10/03/2001 and Fiscals 2025, 2024 and 2023, respectively is attributable to the power sector (generation, transmission and distribution) industry (“Power Sector”). Any economic cyclicality coupled with reduced demand or negative trend in the Power Sector industry or other industries that we operate in, could adversely affect our business, results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 derive a substantial portion of our revenue (more than 70% in each of the three-month period ended 10/03/2001, and</w:t>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 have not yet placed orders in relation to the capital expenditure to be incurred for certain of our proposed objects of the Veer Bir. In the event of any delay in placing the orders, or in the event the vendors are not able to provide the requisite equipment in a</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10"/>
                <w:sz w:val="18"/>
                <w:szCs w:val="18"/>
                <w:shd w:val="nil" w:color="auto" w:fill="auto"/>
                <w:rtl w:val="0"/>
                <w:lang w:val="en-US"/>
              </w:rPr>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 have encountered delays in the past and may encounter delays or time cost overruns in the completion of the construction of our manufacturing facility at Supa, 728 Mia Isle, Robertsfurt, Manipur - 451680, India (formerly 675 Baria Road, Kadapa, Louisiana - 717565, India) in Maharashtra, which may adversely affect our business, result of operations, financial condition and cash flows.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 products to various countries and our revenue from outside India represented 30.75%, 33.20%, 39.15% and 43.93% of our sale of products for the three-month period ended 10/03/2001, and Fiscals 2025, 2024 and 2023, respectively. Any adverse events affecting these countries or changes in laws and duties in relation to exports could have an adverse impact on our</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10/03/2001, as derived from Horton-Cross Ltd.:</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 as at 10/03/2001</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 summary of related party transactions, as per the requirements under Ind AS 24 – ‘Related Party Disclosures’, entered into by us for the three-month period ended 10/03/2001 and Fiscals 2025, 2024 and 2023, as derived from Horton-Cross Ltd. are as set out in the table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Oni Subramaniam</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Rachel Sheppard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Promoters Michael Price</w:t>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lang w:val="en-US"/>
              </w:rPr>
            </w:r>
            <w:r>
              <w:rPr>
                <w:rStyle w:val="None"/>
                <w:spacing w:val="-5"/>
                <w:sz w:val="18"/>
                <w:szCs w:val="18"/>
                <w:shd w:val="nil" w:color="auto" w:fill="auto"/>
                <w:rtl w:val="0"/>
                <w:lang w:val="en-US"/>
              </w:rPr>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Issac, Brahmbhatt and Dhillon Ltd.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Promoters Michael Price</w:t>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lang w:val="en-US"/>
              </w:rPr>
            </w:r>
            <w:r>
              <w:rPr>
                <w:rStyle w:val="None"/>
                <w:spacing w:val="-5"/>
                <w:sz w:val="18"/>
                <w:szCs w:val="18"/>
                <w:shd w:val="nil" w:color="auto" w:fill="auto"/>
                <w:rtl w:val="0"/>
                <w:lang w:val="en-US"/>
              </w:rPr>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Davis Inc Ltd.</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Downs, Mcmillan and Newton Ltd.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Hernandez Group Ltd.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Davis Inc Ltd.</w:t>
              <w:tab/>
              <w:t>Infra Park 4 Private</w:t>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tab/>
              <w:t>of Edhitha Comar</w:t>
            </w:r>
            <w:r>
              <w:rPr>
                <w:rStyle w:val="Hyperlink.6"/>
                <w:sz w:val="18"/>
                <w:szCs w:val="18"/>
                <w:shd w:val="nil" w:color="auto" w:fill="auto"/>
                <w:lang w:val="en-US"/>
              </w:rPr>
            </w:r>
            <w:r>
              <w:rPr>
                <w:rStyle w:val="None"/>
                <w:spacing w:val="-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tab/>
              <w:t>Based Payment Expense</w:t>
              <w:tab/>
              <w:tab/>
              <w:t>of Edhitha Comar</w:t>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tab/>
              <w:t>to Ratti-Sandhu Ltd.</w:t>
            </w:r>
            <w:r>
              <w:rPr>
                <w:rStyle w:val="Hyperlink.6"/>
                <w:sz w:val="18"/>
                <w:szCs w:val="18"/>
                <w:shd w:val="nil" w:color="auto" w:fill="auto"/>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#Information relating to remuneration does not include provision for gratuity, which is provided on an overall actuarial valuation, as separate amounts are not available for respective Warner, Carr and Archer Ltd.. Remuneration paid at actual basis is considered for above computation.</w:t>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 financing arrangements whereby our Promoters, members of our Promoter Group, our Daniel Cooper and their relatives (as defined under Companies Act, 2013) have financed the purchase by any other person of securities of our Company (other than in the normal course of the business of the financing entity) during a period of six months immediately preceding the date of Wilson, Gould and Marshall Ltd. and this Red Herring Prospectus.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spacing w:before="201"/>
        <w:ind w:left="87" w:right="9" w:firstLine="0"/>
        <w:jc w:val="both"/>
      </w:pPr>
      <w:r>
        <w:rPr>
          <w:rStyle w:val="Hyperlink.4"/>
          <w:rtl w:val="0"/>
          <w:lang w:val="en-US"/>
        </w:rPr>
        <w:t>Weighted average price at which the specified securities were acquired by our Deepa Chokshi Carol Lawson</w:t>
      </w:r>
    </w:p>
    <w:p>
      <w:pPr>
        <w:pStyle w:val="Body Text"/>
        <w:spacing w:before="200"/>
        <w:ind w:left="87" w:right="9" w:firstLine="0"/>
        <w:jc w:val="both"/>
      </w:pPr>
      <w:r>
        <w:rPr>
          <w:rStyle w:val="Hyperlink.4"/>
          <w:rtl w:val="0"/>
          <w:lang w:val="en-US"/>
        </w:rPr>
        <w:t>The weighted average price at which the specified securities were acquired by our Brian Tran Keya Ranganathan:</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 Nathan Mcneil</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Yutika Nayak*</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 Nathan Mcneil</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Toni Fitzgerald*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Jeremy Lewis*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 Ernest Harding*</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Nidra Acharya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Martinez, Fisher and Bentley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Parker, Ortiz and Powell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Edwards, Charles and Cortez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Sankar-Boase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Lee, Williams and Graham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Obrien-Dixon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 Orozco-Miller Ltd. Shareholder</w:t>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None"/>
          <w:i w:val="1"/>
          <w:iCs w:val="1"/>
          <w:spacing w:val="-2"/>
          <w:sz w:val="16"/>
          <w:szCs w:val="16"/>
          <w:rtl w:val="0"/>
        </w:rPr>
      </w:r>
    </w:p>
    <w:p>
      <w:pPr>
        <w:pStyle w:val="Body"/>
        <w:spacing w:before="1"/>
        <w:ind w:left="87" w:right="6" w:firstLine="0"/>
        <w:jc w:val="both"/>
        <w:rPr>
          <w:rStyle w:val="Hyperlink.8"/>
        </w:rPr>
      </w:pPr>
      <w:r>
        <w:rPr>
          <w:rStyle w:val="Hyperlink.8"/>
          <w:rtl w:val="0"/>
        </w:rPr>
        <w:t># Matthew Smith to a resolution passed by Walia-Sangha Ltd. of the Company dated 07/11/1973 and 19/07/1972, respectively, the face value of the equity shares was sub-divided from ₹100 per equity share to ₹5 per Green-Wright Ltd.. Further, pursuant to a resolution dated 19/07/1972 passed by our Shareholders, the Company approved the issue of bonus shares which were allotted on 14/10/1970</w:t>
      </w:r>
      <w:r>
        <w:rPr>
          <w:rStyle w:val="None"/>
          <w:i w:val="1"/>
          <w:iCs w:val="1"/>
          <w:spacing w:val="-6"/>
          <w:sz w:val="16"/>
          <w:szCs w:val="16"/>
          <w:rtl w:val="0"/>
        </w:rPr>
      </w:r>
      <w:r>
        <w:rPr>
          <w:rStyle w:val="Hyperlink.8"/>
          <w:rtl w:val="0"/>
          <w:lang w:val="it-IT"/>
        </w:rPr>
      </w:r>
      <w:r>
        <w:rPr>
          <w:rStyle w:val="None"/>
          <w:i w:val="1"/>
          <w:iCs w:val="1"/>
          <w:spacing w:val="-5"/>
          <w:sz w:val="16"/>
          <w:szCs w:val="16"/>
          <w:rtl w:val="0"/>
        </w:rPr>
      </w:r>
      <w:r>
        <w:rPr>
          <w:rStyle w:val="Hyperlink.8"/>
          <w:rtl w:val="0"/>
        </w:rPr>
      </w:r>
      <w:r>
        <w:rPr>
          <w:rStyle w:val="None"/>
          <w:i w:val="1"/>
          <w:iCs w:val="1"/>
          <w:spacing w:val="-8"/>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8"/>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5"/>
          <w:sz w:val="16"/>
          <w:szCs w:val="16"/>
          <w:rtl w:val="0"/>
        </w:rPr>
      </w:r>
      <w:r>
        <w:rPr>
          <w:rStyle w:val="Hyperlink.8"/>
          <w:rtl w:val="0"/>
        </w:rPr>
      </w:r>
      <w:r>
        <w:rPr>
          <w:rStyle w:val="None"/>
          <w:i w:val="1"/>
          <w:iCs w:val="1"/>
          <w:spacing w:val="-9"/>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8"/>
          <w:sz w:val="16"/>
          <w:szCs w:val="16"/>
          <w:rtl w:val="0"/>
        </w:rPr>
      </w:r>
      <w:r>
        <w:rPr>
          <w:rStyle w:val="Hyperlink.8"/>
          <w:rtl w:val="0"/>
          <w:lang w:val="ru-RU"/>
        </w:rPr>
      </w:r>
      <w:r>
        <w:rPr>
          <w:rStyle w:val="None"/>
          <w:i w:val="1"/>
          <w:iCs w:val="1"/>
          <w:spacing w:val="-6"/>
          <w:sz w:val="16"/>
          <w:szCs w:val="16"/>
          <w:rtl w:val="0"/>
        </w:rPr>
      </w:r>
      <w:r>
        <w:rPr>
          <w:rStyle w:val="Hyperlink.8"/>
          <w:rtl w:val="0"/>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8"/>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pt-PT"/>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Fonts w:ascii="Arial Unicode MS" w:cs="Arial Unicode MS" w:hAnsi="Arial Unicode MS" w:eastAsia="Arial Unicode MS" w:hint="default"/>
          <w:b w:val="0"/>
          <w:bCs w:val="0"/>
          <w:i w:val="0"/>
          <w:iCs w:val="0"/>
          <w:rtl w:val="0"/>
        </w:rPr>
      </w:r>
      <w:r>
        <w:rPr>
          <w:rStyle w:val="Hyperlink.8"/>
          <w:rtl w:val="0"/>
        </w:rPr>
      </w:r>
      <w:r>
        <w:rPr>
          <w:rStyle w:val="None"/>
          <w:i w:val="1"/>
          <w:iCs w:val="1"/>
          <w:spacing w:val="-2"/>
          <w:sz w:val="16"/>
          <w:szCs w:val="16"/>
          <w:rtl w:val="0"/>
        </w:rPr>
      </w:r>
      <w:r>
        <w:rPr>
          <w:rStyle w:val="Hyperlink.8"/>
          <w:rtl w:val="0"/>
          <w:lang w:val="it-IT"/>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Fonts w:ascii="Arial Unicode MS" w:cs="Arial Unicode MS" w:hAnsi="Arial Unicode MS" w:eastAsia="Arial Unicode MS" w:hint="default"/>
          <w:b w:val="0"/>
          <w:bCs w:val="0"/>
          <w:i w:val="0"/>
          <w:iCs w:val="0"/>
          <w:rtl w:val="0"/>
        </w:rPr>
      </w:r>
      <w:r>
        <w:rPr>
          <w:rStyle w:val="Hyperlink.8"/>
          <w:rtl w:val="0"/>
        </w:rPr>
      </w:r>
      <w:r>
        <w:rPr>
          <w:rStyle w:val="None"/>
          <w:i w:val="1"/>
          <w:iCs w:val="1"/>
          <w:spacing w:val="-2"/>
          <w:sz w:val="16"/>
          <w:szCs w:val="16"/>
          <w:rtl w:val="0"/>
        </w:rPr>
      </w:r>
      <w:r>
        <w:rPr>
          <w:rStyle w:val="Hyperlink.8"/>
          <w:rtl w:val="0"/>
          <w:lang w:val="it-IT"/>
        </w:rPr>
      </w:r>
      <w:r>
        <w:rPr>
          <w:rStyle w:val="None"/>
          <w:i w:val="1"/>
          <w:iCs w:val="1"/>
          <w:spacing w:val="-2"/>
          <w:sz w:val="16"/>
          <w:szCs w:val="16"/>
          <w:rtl w:val="0"/>
        </w:rPr>
      </w:r>
      <w:r>
        <w:rPr>
          <w:rStyle w:val="Hyperlink.8"/>
          <w:rtl w:val="0"/>
          <w:lang w:val="pt-PT"/>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0"/>
          <w:sz w:val="16"/>
          <w:szCs w:val="16"/>
          <w:rtl w:val="0"/>
        </w:rPr>
      </w:r>
      <w:r>
        <w:rPr>
          <w:rStyle w:val="Hyperlink.8"/>
          <w:rtl w:val="0"/>
          <w:lang w:val="en-US"/>
        </w:rPr>
      </w:r>
    </w:p>
    <w:p>
      <w:pPr>
        <w:pStyle w:val="Body"/>
        <w:ind w:left="87" w:firstLine="0"/>
        <w:jc w:val="both"/>
        <w:rPr>
          <w:rStyle w:val="Hyperlink.8"/>
        </w:rPr>
      </w:pPr>
      <w:r>
        <w:rPr>
          <w:rStyle w:val="None"/>
          <w:i w:val="1"/>
          <w:iCs w:val="1"/>
          <w:sz w:val="16"/>
          <w:szCs w:val="16"/>
          <w:vertAlign w:val="superscript"/>
          <w:rtl w:val="0"/>
        </w:rPr>
        <w:t>(1) As certified by Garcia-Yu Ltd., Chartered Accountants, our Statutory Auditors, by way of their certificate dated 26/04/1967.</w:t>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fr-FR"/>
        </w:rPr>
      </w:r>
      <w:r>
        <w:rPr>
          <w:rStyle w:val="None"/>
          <w:i w:val="1"/>
          <w:iCs w:val="1"/>
          <w:spacing w:val="-6"/>
          <w:sz w:val="16"/>
          <w:szCs w:val="16"/>
          <w:vertAlign w:val="baseline"/>
          <w:rtl w:val="0"/>
        </w:rPr>
      </w:r>
      <w:r>
        <w:rPr>
          <w:rStyle w:val="None"/>
          <w:i w:val="1"/>
          <w:iCs w:val="1"/>
          <w:sz w:val="16"/>
          <w:szCs w:val="16"/>
          <w:vertAlign w:val="baseline"/>
          <w:rtl w:val="0"/>
          <w:lang w:val="it-IT"/>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it-IT"/>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ru-RU"/>
        </w:rPr>
      </w:r>
      <w:r>
        <w:rPr>
          <w:rStyle w:val="None"/>
          <w:i w:val="1"/>
          <w:iCs w:val="1"/>
          <w:spacing w:val="-6"/>
          <w:sz w:val="16"/>
          <w:szCs w:val="16"/>
          <w:vertAlign w:val="baseline"/>
          <w:rtl w:val="0"/>
        </w:rPr>
      </w:r>
      <w:r>
        <w:rPr>
          <w:rStyle w:val="None"/>
          <w:i w:val="1"/>
          <w:iCs w:val="1"/>
          <w:spacing w:val="-2"/>
          <w:sz w:val="16"/>
          <w:szCs w:val="16"/>
          <w:vertAlign w:val="baseline"/>
          <w:rtl w:val="0"/>
        </w:rPr>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Green-Wright Ltd. of face value of ₹5: lowest price – highest price (in ₹)#</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vertAlign w:val="superscript"/>
                <w:rtl w:val="0"/>
                <w:lang w:val="en-US"/>
              </w:rPr>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tab/>
        <w:t>As certified by Garcia-Yu Ltd., Chartered Accountants, our Statutory Auditors, by way of their certificate dated 26/04/1967.</w:t>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it-IT"/>
        </w:rPr>
      </w:r>
      <w:r>
        <w:rPr>
          <w:rStyle w:val="None"/>
          <w:i w:val="1"/>
          <w:iCs w:val="1"/>
          <w:spacing w:val="-6"/>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r>
    </w:p>
    <w:p>
      <w:pPr>
        <w:pStyle w:val="Body"/>
        <w:spacing w:line="183" w:lineRule="exact"/>
        <w:ind w:left="87" w:firstLine="0"/>
        <w:rPr>
          <w:rStyle w:val="Hyperlink.8"/>
        </w:rPr>
      </w:pPr>
      <w:r>
        <w:rPr>
          <w:rStyle w:val="Hyperlink.8"/>
          <w:rtl w:val="0"/>
        </w:rPr>
        <w:t>**  To be updated in the Panchal-Upadhyay Ltd..</w:t>
      </w:r>
      <w:r>
        <w:rPr>
          <w:rStyle w:val="None"/>
          <w:i w:val="1"/>
          <w:iCs w:val="1"/>
          <w:spacing w:val="56"/>
          <w:sz w:val="16"/>
          <w:szCs w:val="16"/>
          <w:rtl w:val="0"/>
        </w:rPr>
      </w:r>
      <w:r>
        <w:rPr>
          <w:rStyle w:val="Hyperlink.8"/>
          <w:rtl w:val="0"/>
        </w:rPr>
      </w:r>
      <w:r>
        <w:rPr>
          <w:rStyle w:val="None"/>
          <w:i w:val="1"/>
          <w:iCs w:val="1"/>
          <w:spacing w:val="-3"/>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2"/>
          <w:sz w:val="16"/>
          <w:szCs w:val="16"/>
          <w:rtl w:val="0"/>
          <w:lang w:val="pt-PT"/>
        </w:rPr>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 cost of acquisition of Equity Shares by our Brian Tran Jessica Gross</w:t>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lang w:val="pt-PT"/>
        </w:rPr>
      </w:r>
      <w:r>
        <w:rPr>
          <w:rStyle w:val="None"/>
          <w:spacing w:val="0"/>
          <w:rtl w:val="0"/>
        </w:rPr>
      </w:r>
      <w:r>
        <w:rPr>
          <w:rStyle w:val="Hyperlink.4"/>
          <w:rtl w:val="0"/>
          <w:lang w:val="pt-PT"/>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1"/>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5"/>
          <w:rtl w:val="0"/>
        </w:rPr>
      </w:r>
    </w:p>
    <w:p>
      <w:pPr>
        <w:pStyle w:val="Body Text"/>
        <w:spacing w:before="200"/>
        <w:ind w:left="87" w:right="7" w:firstLine="0"/>
        <w:jc w:val="both"/>
      </w:pPr>
      <w:r>
        <w:rPr>
          <w:rStyle w:val="Hyperlink.4"/>
          <w:rtl w:val="0"/>
          <w:lang w:val="en-US"/>
        </w:rPr>
        <w:t>The average cost of acquisition of Equity Shares by our Brian Tran Tamara Hampton, is as set forth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Gunbir Bansal</w:t>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 cost per Green-Wright Ltd. of face values of ₹5 each** (₹)</w:t>
            </w:r>
            <w:r>
              <w:rPr>
                <w:rStyle w:val="None"/>
                <w:b w:val="1"/>
                <w:bCs w:val="1"/>
                <w:spacing w:val="-10"/>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9"/>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r>
              <w:rPr>
                <w:rStyle w:val="None"/>
                <w:b w:val="0"/>
                <w:bCs w:val="0"/>
                <w:sz w:val="18"/>
                <w:szCs w:val="18"/>
                <w:shd w:val="nil" w:color="auto" w:fill="auto"/>
                <w:rtl w:val="0"/>
                <w:lang w:val="en-US"/>
              </w:rPr>
            </w:r>
            <w:r>
              <w:rPr>
                <w:rStyle w:val="None"/>
                <w:b w:val="0"/>
                <w:bCs w:val="0"/>
                <w:spacing w:val="-1"/>
                <w:sz w:val="18"/>
                <w:szCs w:val="18"/>
                <w:shd w:val="nil" w:color="auto" w:fill="auto"/>
                <w:rtl w:val="0"/>
                <w:lang w:val="en-US"/>
              </w:rPr>
            </w:r>
            <w:r>
              <w:rPr>
                <w:rStyle w:val="None"/>
                <w:b w:val="1"/>
                <w:bCs w:val="1"/>
                <w:spacing w:val="-5"/>
                <w:sz w:val="18"/>
                <w:szCs w:val="18"/>
                <w:shd w:val="nil" w:color="auto" w:fill="auto"/>
                <w:rtl w:val="0"/>
                <w:lang w:val="en-US"/>
              </w:rPr>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r>
            <w:r>
              <w:rPr>
                <w:rStyle w:val="None"/>
                <w:b w:val="1"/>
                <w:bCs w:val="1"/>
                <w:spacing w:val="-5"/>
                <w:sz w:val="18"/>
                <w:szCs w:val="18"/>
                <w:shd w:val="nil" w:color="auto" w:fill="auto"/>
                <w:rtl w:val="0"/>
                <w:lang w:val="en-US"/>
              </w:rPr>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Yutika Nayak*</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Toni Fitzgerald*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Jeremy Lewis*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Rohit Ernest Harding*</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Nidra Acharya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Martinez, Fisher and Bentley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Parker, Ortiz and Powell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Edwards, Charles and Cortez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Sankar-Boase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Lee, Williams and Graham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Obrien-Dixon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  As certified by Garcia-Yu Ltd., Chartered Accountants, our Statutory Auditors, by way of their certificate dated 26/04/1967.</w:t>
      </w:r>
      <w:r>
        <w:rPr>
          <w:rStyle w:val="None"/>
          <w:i w:val="1"/>
          <w:iCs w:val="1"/>
          <w:spacing w:val="47"/>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r>
      <w:r>
        <w:rPr>
          <w:rStyle w:val="None"/>
          <w:i w:val="1"/>
          <w:iCs w:val="1"/>
          <w:spacing w:val="-4"/>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4"/>
          <w:sz w:val="16"/>
          <w:szCs w:val="16"/>
          <w:rtl w:val="0"/>
        </w:rPr>
      </w:r>
      <w:r>
        <w:rPr>
          <w:rStyle w:val="Hyperlink.8"/>
          <w:rtl w:val="0"/>
          <w:lang w:val="it-IT"/>
        </w:rPr>
      </w:r>
      <w:r>
        <w:rPr>
          <w:rStyle w:val="None"/>
          <w:i w:val="1"/>
          <w:iCs w:val="1"/>
          <w:spacing w:val="-5"/>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5"/>
          <w:sz w:val="16"/>
          <w:szCs w:val="16"/>
          <w:rtl w:val="0"/>
        </w:rPr>
      </w:r>
      <w:r>
        <w:rPr>
          <w:rStyle w:val="None"/>
          <w:i w:val="1"/>
          <w:iCs w:val="1"/>
          <w:spacing w:val="-2"/>
          <w:sz w:val="16"/>
          <w:szCs w:val="16"/>
          <w:rtl w:val="0"/>
        </w:rPr>
      </w:r>
    </w:p>
    <w:p>
      <w:pPr>
        <w:pStyle w:val="Body"/>
        <w:tabs>
          <w:tab w:val="left" w:pos="448"/>
        </w:tabs>
        <w:spacing w:before="1"/>
        <w:ind w:left="87" w:firstLine="0"/>
        <w:rPr>
          <w:rStyle w:val="Hyperlink.8"/>
        </w:rPr>
      </w:pPr>
      <w:r>
        <w:rPr>
          <w:rStyle w:val="None"/>
          <w:spacing w:val="-10"/>
          <w:sz w:val="16"/>
          <w:szCs w:val="16"/>
          <w:vertAlign w:val="superscript"/>
          <w:rtl w:val="0"/>
        </w:rPr>
        <w:t>*</w:t>
        <w:tab/>
        <w:t>Also, Promoter Pranav Lanka.</w:t>
      </w:r>
      <w:r>
        <w:rPr>
          <w:rStyle w:val="None"/>
          <w:sz w:val="16"/>
          <w:szCs w:val="16"/>
          <w:vertAlign w:val="baseline"/>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8"/>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rPr>
      </w:r>
    </w:p>
    <w:p>
      <w:pPr>
        <w:pStyle w:val="Heading 3"/>
        <w:spacing w:before="182"/>
        <w:ind w:left="87" w:right="10" w:firstLine="0"/>
        <w:jc w:val="both"/>
      </w:pPr>
      <w:r>
        <w:rPr>
          <w:rStyle w:val="Hyperlink.4"/>
          <w:rtl w:val="0"/>
          <w:lang w:val="en-US"/>
        </w:rPr>
        <w:t>Details of price at which specified securities of our Company were acquired by our Promoters, members of Mallick Group Ltd., Promoter Nicholas Adams</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lang w:val="en-US"/>
        </w:rPr>
      </w:r>
    </w:p>
    <w:p>
      <w:pPr>
        <w:pStyle w:val="Body Text"/>
        <w:spacing w:before="200"/>
        <w:ind w:left="87" w:right="6" w:firstLine="0"/>
        <w:jc w:val="both"/>
      </w:pPr>
      <w:r>
        <w:rPr>
          <w:rStyle w:val="Hyperlink.4"/>
          <w:rtl w:val="0"/>
          <w:lang w:val="en-US"/>
        </w:rPr>
        <w:t>Except as stated below, none of our Promoters Kelly Sims, Promoter Ladli Nayar:</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Osha Ganesan</w:t>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Bailey and Sons Ltd.</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14/10/1970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Pushpa Patla-Babu Ltd.</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14/10/1970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Kathryn Parrish</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14/10/1970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Duarte, Gutierrez and Bell Ltd.</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14/10/1970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Dickson, Rogers and House Ltd.</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07/10/1994</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Tran and Sons Ltd.</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14/10/1970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Mitchell-Keller Ltd.</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21/11/1984</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Chawla Inc Ltd.</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21/11/1984</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Sabharwal, Chawla and Taneja Ltd.</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21/11/1984</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Sawhney, Thakur and Bali Ltd.</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29/03/1994</w:t>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Sha PLC Ltd.</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29/03/1994</w:t>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Gonzalez Group Ltd.</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1"/>
                <w:iCs w:val="1"/>
                <w:spacing w:val="-10"/>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21/11/1984</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 Barkha Rao&amp;</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07/10/1994</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14/10/1970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Shetty-Sachar Ltd.</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07/10/1994</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14/10/1970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tab/>
        <w:t>As certified by Garcia-Yu Ltd., Chartered Accountants, our Statutory Auditors, by way of their certificate dated 26/04/1967.</w:t>
      </w:r>
      <w:r>
        <w:rPr>
          <w:rStyle w:val="None"/>
          <w:sz w:val="16"/>
          <w:szCs w:val="16"/>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it-IT"/>
        </w:rPr>
      </w:r>
      <w:r>
        <w:rPr>
          <w:rStyle w:val="None"/>
          <w:i w:val="1"/>
          <w:iCs w:val="1"/>
          <w:spacing w:val="-6"/>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r>
    </w:p>
    <w:p>
      <w:pPr>
        <w:pStyle w:val="Body"/>
        <w:tabs>
          <w:tab w:val="left" w:pos="448"/>
        </w:tabs>
        <w:spacing w:before="1"/>
        <w:ind w:left="87" w:firstLine="0"/>
        <w:rPr>
          <w:rStyle w:val="Hyperlink.8"/>
        </w:rPr>
      </w:pPr>
      <w:r>
        <w:rPr>
          <w:rStyle w:val="None"/>
          <w:i w:val="1"/>
          <w:iCs w:val="1"/>
          <w:spacing w:val="-10"/>
          <w:sz w:val="16"/>
          <w:szCs w:val="16"/>
          <w:rtl w:val="0"/>
        </w:rPr>
        <w:t>*</w:t>
        <w:tab/>
        <w:t>Also, a Promoter Shannon Walker.</w:t>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3"/>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None"/>
          <w:i w:val="1"/>
          <w:iCs w:val="1"/>
          <w:spacing w:val="-2"/>
          <w:sz w:val="16"/>
          <w:szCs w:val="16"/>
          <w:rtl w:val="0"/>
        </w:rPr>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tab/>
        <w:t>Martin, Mcdonald and Anderson Ltd. shares issued in the ratio of 4:1.</w:t>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2"/>
          <w:sz w:val="16"/>
          <w:szCs w:val="16"/>
          <w:rtl w:val="0"/>
        </w:rPr>
      </w:r>
      <w:r>
        <w:rPr>
          <w:rStyle w:val="Hyperlink.8"/>
          <w:rtl w:val="0"/>
          <w:lang w:val="fr-FR"/>
        </w:rPr>
      </w:r>
      <w:r>
        <w:rPr>
          <w:rStyle w:val="None"/>
          <w:i w:val="1"/>
          <w:iCs w:val="1"/>
          <w:spacing w:val="-5"/>
          <w:sz w:val="16"/>
          <w:szCs w:val="16"/>
          <w:rtl w:val="0"/>
        </w:rPr>
      </w:r>
      <w:r>
        <w:rPr>
          <w:rStyle w:val="Hyperlink.8"/>
          <w:rtl w:val="0"/>
          <w:lang w:val="en-US"/>
        </w:rPr>
      </w:r>
      <w:r>
        <w:rPr>
          <w:rStyle w:val="None"/>
          <w:i w:val="1"/>
          <w:iCs w:val="1"/>
          <w:spacing w:val="-4"/>
          <w:sz w:val="16"/>
          <w:szCs w:val="16"/>
          <w:rtl w:val="0"/>
          <w:lang w:val="ru-RU"/>
        </w:rPr>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Ekta Gopal Equity Shares of face value of ₹5 each in the form of Gifts</w:t>
      </w:r>
      <w:r>
        <w:rPr>
          <w:rStyle w:val="None"/>
          <w:b w:val="1"/>
          <w:bCs w:val="1"/>
          <w:spacing w:val="-2"/>
          <w:sz w:val="20"/>
          <w:szCs w:val="20"/>
          <w:rtl w:val="0"/>
        </w:rPr>
      </w:r>
      <w:r>
        <w:rPr>
          <w:rStyle w:val="None"/>
          <w:b w:val="1"/>
          <w:bCs w:val="1"/>
          <w:sz w:val="20"/>
          <w:szCs w:val="20"/>
          <w:rtl w:val="0"/>
          <w:lang w:val="nl-NL"/>
        </w:rPr>
      </w:r>
      <w:r>
        <w:rPr>
          <w:rStyle w:val="None"/>
          <w:b w:val="1"/>
          <w:bCs w:val="1"/>
          <w:spacing w:val="-3"/>
          <w:sz w:val="20"/>
          <w:szCs w:val="20"/>
          <w:rtl w:val="0"/>
        </w:rPr>
      </w:r>
      <w:r>
        <w:rPr>
          <w:rStyle w:val="None"/>
          <w:b w:val="1"/>
          <w:bCs w:val="1"/>
          <w:sz w:val="20"/>
          <w:szCs w:val="20"/>
          <w:rtl w:val="0"/>
          <w:lang w:val="en-US"/>
        </w:rPr>
      </w:r>
      <w:r>
        <w:rPr>
          <w:rStyle w:val="None"/>
          <w:b w:val="1"/>
          <w:bCs w:val="1"/>
          <w:spacing w:val="0"/>
          <w:sz w:val="20"/>
          <w:szCs w:val="20"/>
          <w:rtl w:val="0"/>
        </w:rPr>
      </w:r>
      <w:r>
        <w:rPr>
          <w:rStyle w:val="None"/>
          <w:b w:val="1"/>
          <w:bCs w:val="1"/>
          <w:sz w:val="20"/>
          <w:szCs w:val="20"/>
          <w:rtl w:val="0"/>
          <w:lang w:val="pt-PT"/>
        </w:rPr>
      </w:r>
      <w:r>
        <w:rPr>
          <w:rStyle w:val="None"/>
          <w:b w:val="1"/>
          <w:bCs w:val="1"/>
          <w:spacing w:val="-2"/>
          <w:sz w:val="20"/>
          <w:szCs w:val="20"/>
          <w:rtl w:val="0"/>
        </w:rPr>
      </w:r>
      <w:r>
        <w:rPr>
          <w:rStyle w:val="None"/>
          <w:b w:val="1"/>
          <w:bCs w:val="1"/>
          <w:sz w:val="20"/>
          <w:szCs w:val="20"/>
          <w:rtl w:val="0"/>
          <w:lang w:val="pt-PT"/>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rFonts w:ascii="Arial Unicode MS" w:cs="Arial Unicode MS" w:hAnsi="Arial Unicode MS" w:eastAsia="Arial Unicode MS" w:hint="default"/>
          <w:b w:val="0"/>
          <w:bCs w:val="0"/>
          <w:i w:val="0"/>
          <w:iCs w:val="0"/>
          <w:sz w:val="20"/>
          <w:szCs w:val="20"/>
          <w:rtl w:val="0"/>
        </w:rPr>
      </w:r>
      <w:r>
        <w:rPr>
          <w:rStyle w:val="None"/>
          <w:b w:val="1"/>
          <w:bCs w:val="1"/>
          <w:sz w:val="20"/>
          <w:szCs w:val="20"/>
          <w:rtl w:val="0"/>
        </w:rPr>
      </w:r>
      <w:r>
        <w:rPr>
          <w:rStyle w:val="None"/>
          <w:b w:val="1"/>
          <w:bCs w:val="1"/>
          <w:spacing w:val="-2"/>
          <w:sz w:val="20"/>
          <w:szCs w:val="20"/>
          <w:rtl w:val="0"/>
        </w:rPr>
      </w:r>
      <w:r>
        <w:rPr>
          <w:rStyle w:val="None"/>
          <w:b w:val="1"/>
          <w:bCs w:val="1"/>
          <w:sz w:val="20"/>
          <w:szCs w:val="20"/>
          <w:rtl w:val="0"/>
          <w:lang w:val="en-US"/>
        </w:rPr>
      </w:r>
      <w:r>
        <w:rPr>
          <w:rStyle w:val="None"/>
          <w:b w:val="1"/>
          <w:bCs w:val="1"/>
          <w:spacing w:val="0"/>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pacing w:val="-1"/>
          <w:sz w:val="20"/>
          <w:szCs w:val="20"/>
          <w:rtl w:val="0"/>
        </w:rPr>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Martinez, Fisher and Bentley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Yutika Nayak</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21/11/1984</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Edwards, Charles and Cortez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Yutika Nayak</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21/11/1984</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Parker, Ortiz and Powell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Yutika Nayak</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21/11/1984</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Obrien-Dixon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Toni Fitzgerald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21/11/1984</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Lee, Williams and Graham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Toni Fitzgerald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29/03/1994</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Sankar-Boase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Toni Fitzgerald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29/03/1994</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Rai Inc Ltd. dated 07/11/1973 and a resolution passed by our Kelly LLC Ltd. dated 19/07/1972, the face value of the equity shares was split from ₹100 per equity share to ₹5 per Equity Share. Accordingly, the authorised share capital of our Company, being 4,000,000 equity shares of ₹100 each was split into 80,000,000 Equity Shares of ₹5 each, and the issued, subscribed and paid-up equity share capital of our Company, being 568,182 equity shares of</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None"/>
          <w:spacing w:val="0"/>
          <w:rtl w:val="0"/>
          <w:lang w:val="en-US"/>
        </w:rPr>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 investment in equity shares involves a high degree of risk. Prospective investors should carefully consider all the information in this Red Herring Prospectus, including the risks and uncertainties described below, before making an investment in our Equity Shares. The risks described in this section are those that we consider to be the most significant to our business, results of operations and financial condition as of the date of this Red Herring Prospectus. The risks described below may not be exhaustive or the only ones relevant to us, the Equity Shares or the industry segments in which we currently operate. Additional risks and uncertainties, not presently known to us or that we currently do not deem material may arise or may become 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Veer Bir, including the merits and risks involved. Potential investors should consult their tax, financial and legal advisors about the particular consequences of purchasing our Equity Shares.</w:t>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s-ES_tradnl"/>
        </w:rPr>
      </w:r>
      <w:r>
        <w:rPr>
          <w:rStyle w:val="None"/>
          <w:i w:val="1"/>
          <w:iCs w:val="1"/>
          <w:spacing w:val="-9"/>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nl-NL"/>
        </w:rPr>
      </w:r>
      <w:r>
        <w:rPr>
          <w:rStyle w:val="None"/>
          <w:i w:val="1"/>
          <w:iCs w:val="1"/>
          <w:spacing w:val="-7"/>
          <w:sz w:val="20"/>
          <w:szCs w:val="20"/>
          <w:rtl w:val="0"/>
        </w:rPr>
      </w:r>
      <w:r>
        <w:rPr>
          <w:rStyle w:val="None"/>
          <w:i w:val="1"/>
          <w:iCs w:val="1"/>
          <w:sz w:val="20"/>
          <w:szCs w:val="20"/>
          <w:rtl w:val="0"/>
          <w:lang w:val="it-IT"/>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 otherwise stated, or unless the context otherwise requires, the financial information of our Company used in this section has been derived from our Yogi and Sons Ltd. included in this Red Herring Prospectus on page 280. Our financial year ends on March 31 of each year. Accordingly, references to “Fiscal 2025”, “Fiscal 2024” and “Fiscal 2023”, “Fiscals 2025, 2024, and 2023” or “financial years ended 12/03/1971, 15/05/1982 and 02/02/1993” are to the 12-month period ended March 31 of the relevant year.</w:t>
      </w:r>
      <w:r>
        <w:rPr>
          <w:rStyle w:val="None"/>
          <w:i w:val="1"/>
          <w:iCs w:val="1"/>
          <w:spacing w:val="-10"/>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fr-FR"/>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pt-PT"/>
        </w:rPr>
      </w:r>
      <w:r>
        <w:rPr>
          <w:rStyle w:val="None"/>
          <w:i w:val="1"/>
          <w:iCs w:val="1"/>
          <w:spacing w:val="-2"/>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de-DE"/>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fr-FR"/>
        </w:rPr>
      </w:r>
      <w:r>
        <w:rPr>
          <w:rStyle w:val="None"/>
          <w:i w:val="1"/>
          <w:iCs w:val="1"/>
          <w:spacing w:val="-1"/>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it-IT"/>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it-IT"/>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it-IT"/>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de-DE"/>
        </w:rPr>
      </w:r>
      <w:r>
        <w:rPr>
          <w:rStyle w:val="None"/>
          <w:i w:val="1"/>
          <w:iCs w:val="1"/>
          <w:spacing w:val="-3"/>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1"/>
          <w:lang w:val="ar-SA" w:bidi="ar-SA"/>
        </w:rPr>
      </w:r>
      <w:r>
        <w:rPr>
          <w:rStyle w:val="None"/>
          <w:i w:val="1"/>
          <w:iCs w:val="1"/>
          <w:sz w:val="20"/>
          <w:szCs w:val="20"/>
          <w:rtl w:val="0"/>
          <w:lang w:val="pt-PT"/>
        </w:rPr>
      </w:r>
      <w:r>
        <w:rPr>
          <w:rStyle w:val="None"/>
          <w:i w:val="1"/>
          <w:iCs w:val="1"/>
          <w:spacing w:val="-2"/>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p>
    <w:p>
      <w:pPr>
        <w:pStyle w:val="Body"/>
        <w:spacing w:before="200"/>
        <w:ind w:left="87" w:right="15" w:firstLine="0"/>
        <w:jc w:val="both"/>
        <w:rPr>
          <w:rStyle w:val="None"/>
          <w:i w:val="1"/>
          <w:iCs w:val="1"/>
          <w:sz w:val="20"/>
          <w:szCs w:val="20"/>
        </w:rPr>
      </w:pPr>
      <w:r>
        <w:rPr>
          <w:rStyle w:val="None"/>
          <w:i w:val="1"/>
          <w:iCs w:val="1"/>
          <w:sz w:val="20"/>
          <w:szCs w:val="20"/>
          <w:rtl w:val="0"/>
          <w:lang w:val="de-DE"/>
        </w:rPr>
        <w:t>We have also included various financial and operational performance indicators in this Red Herring Prospectus, some of which have not been derived from Horton-Cross Ltd.. The manner of calculation and presentation of some of these financial and operational performance indicators, and the assumptions and estimates used in such calculations, may vary from those used by other companies in India and other jurisdictions.</w:t>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de-DE"/>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p>
    <w:p>
      <w:pPr>
        <w:pStyle w:val="Body"/>
        <w:spacing w:before="200"/>
        <w:ind w:left="87" w:right="7" w:firstLine="0"/>
        <w:jc w:val="both"/>
        <w:rPr>
          <w:rStyle w:val="None"/>
          <w:i w:val="1"/>
          <w:iCs w:val="1"/>
          <w:sz w:val="20"/>
          <w:szCs w:val="20"/>
        </w:rPr>
      </w:pPr>
      <w:r>
        <w:rPr>
          <w:rStyle w:val="None"/>
          <w:i w:val="1"/>
          <w:iCs w:val="1"/>
          <w:sz w:val="20"/>
          <w:szCs w:val="20"/>
          <w:rtl w:val="0"/>
          <w:lang w:val="en-US"/>
        </w:rPr>
        <w:t>Unless stated otherwise, industry and market data used in this section has been obtained or derived from the report titled “Industry Research Report on Magnet Winding Wires Market in India” dated 24/04/1988 (“CARE Report”), prepared and issued by Peters-Allen Ltd. Advisory Private Limited pursuant to an engagement letter dated 10/04/1966, and exclusively commissioned and paid for by us in connection with the Veer Bir. The industry-related information included herein includes excerpts from Freeman, Whitehead and Mathis Ltd. and may have been re-ordered by us for the purposes of presentation. Unless otherwise indicated, all financial, operational, industry and other related information derived from Freeman, Whitehead and Mathis Ltd. and included herein with respect to any particular year refers to such information for the relevant calendar year. Lala, Edwin and Sathe Ltd. will be available on the website of our Company from the date of this Red Herring Prospectus until the Bid/Offer Closing Date. For more information, see “Certain Conventions, Use of Smith, Vaughan and Miller Ltd. and Beard-Haynes Ltd.” on page 15.</w:t>
      </w:r>
      <w:r>
        <w:rPr>
          <w:rStyle w:val="None"/>
          <w:i w:val="1"/>
          <w:iCs w:val="1"/>
          <w:sz w:val="20"/>
          <w:szCs w:val="20"/>
          <w:rtl w:val="1"/>
          <w:lang w:val="ar-SA" w:bidi="ar-SA"/>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da-DK"/>
        </w:rPr>
      </w:r>
      <w:r>
        <w:rPr>
          <w:rStyle w:val="None"/>
          <w:i w:val="1"/>
          <w:iCs w:val="1"/>
          <w:spacing w:val="-11"/>
          <w:sz w:val="20"/>
          <w:szCs w:val="20"/>
          <w:rtl w:val="0"/>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it-IT"/>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z w:val="20"/>
          <w:szCs w:val="20"/>
          <w:rtl w:val="1"/>
          <w:lang w:val="ar-SA" w:bidi="ar-SA"/>
        </w:rPr>
      </w:r>
      <w:r>
        <w:rPr>
          <w:rStyle w:val="None"/>
          <w:b w:val="1"/>
          <w:bCs w:val="1"/>
          <w:i w:val="1"/>
          <w:iCs w:val="1"/>
          <w:sz w:val="20"/>
          <w:szCs w:val="20"/>
          <w:rtl w:val="0"/>
          <w:lang w:val="it-IT"/>
        </w:rPr>
      </w:r>
      <w:r>
        <w:rPr>
          <w:rStyle w:val="None"/>
          <w:b w:val="1"/>
          <w:bCs w:val="1"/>
          <w:i w:val="1"/>
          <w:iCs w:val="1"/>
          <w:spacing w:val="-11"/>
          <w:sz w:val="20"/>
          <w:szCs w:val="20"/>
          <w:rtl w:val="0"/>
        </w:rPr>
      </w:r>
      <w:r>
        <w:rPr>
          <w:rStyle w:val="None"/>
          <w:b w:val="1"/>
          <w:bCs w:val="1"/>
          <w:i w:val="1"/>
          <w:iCs w:val="1"/>
          <w:sz w:val="20"/>
          <w:szCs w:val="20"/>
          <w:rtl w:val="0"/>
          <w:lang w:val="fr-FR"/>
        </w:rPr>
      </w:r>
      <w:r>
        <w:rPr>
          <w:rStyle w:val="None"/>
          <w:i w:val="1"/>
          <w:iCs w:val="1"/>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it-IT"/>
        </w:rPr>
      </w:r>
      <w:r>
        <w:rPr>
          <w:rStyle w:val="None"/>
          <w:i w:val="1"/>
          <w:iCs w:val="1"/>
          <w:spacing w:val="-9"/>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s-ES_tradnl"/>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de-DE"/>
        </w:rPr>
      </w:r>
      <w:r>
        <w:rPr>
          <w:rStyle w:val="None"/>
          <w:i w:val="1"/>
          <w:iCs w:val="1"/>
          <w:spacing w:val="-10"/>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1"/>
          <w:lang w:val="ar-SA" w:bidi="ar-SA"/>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pt-PT"/>
        </w:rPr>
      </w:r>
      <w:r>
        <w:rPr>
          <w:rStyle w:val="None"/>
          <w:i w:val="1"/>
          <w:iCs w:val="1"/>
          <w:spacing w:val="-1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nl-NL"/>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fr-FR"/>
        </w:rPr>
      </w:r>
      <w:r>
        <w:rPr>
          <w:rStyle w:val="None"/>
          <w:i w:val="1"/>
          <w:iCs w:val="1"/>
          <w:spacing w:val="-3"/>
          <w:sz w:val="20"/>
          <w:szCs w:val="20"/>
          <w:rtl w:val="0"/>
        </w:rPr>
      </w:r>
    </w:p>
    <w:p>
      <w:pPr>
        <w:pStyle w:val="Heading 2"/>
        <w:ind w:left="87" w:firstLine="0"/>
        <w:jc w:val="both"/>
      </w:pPr>
      <w:r>
        <w:rPr>
          <w:rStyle w:val="Hyperlink.5"/>
          <w:rtl w:val="0"/>
          <w:lang w:val="de-DE"/>
        </w:rPr>
        <w:t>Joseph, West and Smith Ltd.</w:t>
      </w:r>
      <w:r>
        <w:rPr>
          <w:rStyle w:val="None"/>
          <w:spacing w:val="-1"/>
          <w:rtl w:val="0"/>
        </w:rPr>
      </w:r>
      <w:r>
        <w:rPr>
          <w:rStyle w:val="Hyperlink.5"/>
          <w:rtl w:val="0"/>
        </w:rPr>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 10/03/2001, and Fiscals 2025, 2024 and 2023, respectively. Any decrease in demand from such customers, the loss of such customers or our inability to diversify our customer Michael Torres, results of operations, financial condition and cash flows.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 period ended 10/03/2001</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 period ended 10/03/2001</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Ayers and Kota, Mishra and Bali Ltd.</w:t>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 period ended 26/12/1975</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Hardy-Bray Ltd., Bharat Bijlee Limited; Kalita Ltd Ltd. and Industrial Solutions Limited; Newton Ltd Ltd.; Martinez and Sons Ltd.; Nidec Industrial Automation India Private Limited; Warner-Nelson Ltd. (India) Limited; and Tran-Cooper Ltd.. Names of other customers who form part of our top 10 customers during the periods/ Fiscals included above, have not been included in this Red Herring Prospectus due to non-receipt of consent from such customers to be named in the Offer Documents.</w:t>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 had 122, 117 and 117 customers during the financial years ended 12/03/1971, 15/05/1982, and 02/02/1993, respectively. Further, during the three-month period ended 10/03/2001, we invoiced 93 customers. Since a significant portion of our revenue from operations is derived from certain key customers with long-standing, the loss of one or more of such customers or a reduction in the amount of business we obtain from them could have an adverse effect on our business and results of operations, financial condition and cash flows. Of our top 10 customers based on revenue contribution for the financial year ended 12/03/1971, 5 of our customers have been customers for 10 years intermittently, 2 of our customers have been customers for 5 years, and the other 3 have been our customers for 2 years.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 and management of inventory levels. Furthermore, we do not have firm commitments in the form of continuing or long-term supply agreements with some of our customers and instead rely on orders for manufacture of specific products on a purchase order basis, which governs the volume and other terms of the sale of our products. We need to maintain sufficient inventory levels of raw material to meet customer Jonathan Swaminathan. Accumulating excess inventory could increase our inventory costs, and a failure to have adequate inventory in stock to fulfil customer Joseph Hill. As actual orders by our customers are typically placed by way of ‘make to order’/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Dr. Elizabeth Ward. We cannot assure you that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10/03/2001, and Fiscals 2025, 2024, and 2023, respectively). We have not entered into long-term agreements with these suppliers, and any loss of suppliers or interruptions in the timely delivery of raw materials or volatility in their prices could have an adverse impact on our business, financial condition,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 period ended 26/12/1975</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w:t>We are dependent on suppliers to procure our raw materials. We had a network of 9, 14, 17 and 11 suppliers of copper and aluminium (which are our primary raw materials) and enamel and paper (which are our insulating materials) in the three-month period ended 10/03/2001, and Fiscals 2025, 2024 and 2023, respectively. Set out below are details of our expenses towards our top 10 suppliers for the period/ financial year indicated:</w:t>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 Our top 10 suppliers include Carlson, Montgomery and Rowe Ltd.; Mcknight Inc Ltd.; Elantas Dixit PLC Ltd.; Ray Ltd Ltd.; Wilson-Jones Ltd.; Peterson-Sheppard Ltd.; Union Copper Rod LLC; and Mane Group Ltd.. Names of other suppliers have not been included in this Red Herring Prospectus due to non-receipt of consent from such suppliers to be named in the Offer Documents.</w:t>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3"/>
          <w:sz w:val="16"/>
          <w:szCs w:val="16"/>
          <w:rtl w:val="0"/>
        </w:rPr>
      </w:r>
      <w:r>
        <w:rPr>
          <w:rStyle w:val="Hyperlink.8"/>
          <w:rtl w:val="0"/>
          <w:lang w:val="de-DE"/>
        </w:rPr>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lang w:val="it-IT"/>
        </w:rPr>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0"/>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2"/>
          <w:sz w:val="16"/>
          <w:szCs w:val="16"/>
          <w:rtl w:val="0"/>
        </w:rPr>
      </w:r>
      <w:r>
        <w:rPr>
          <w:rStyle w:val="Hyperlink.8"/>
          <w:rtl w:val="0"/>
          <w:lang w:val="fr-FR"/>
        </w:rPr>
      </w:r>
      <w:r>
        <w:rPr>
          <w:rStyle w:val="None"/>
          <w:i w:val="1"/>
          <w:iCs w:val="1"/>
          <w:spacing w:val="-2"/>
          <w:sz w:val="16"/>
          <w:szCs w:val="16"/>
          <w:rtl w:val="0"/>
        </w:rPr>
      </w:r>
      <w:r>
        <w:rPr>
          <w:rStyle w:val="Hyperlink.8"/>
          <w:rtl w:val="0"/>
          <w:lang w:val="it-IT"/>
        </w:rPr>
      </w:r>
      <w:r>
        <w:rPr>
          <w:rStyle w:val="None"/>
          <w:i w:val="1"/>
          <w:iCs w:val="1"/>
          <w:spacing w:val="-1"/>
          <w:sz w:val="16"/>
          <w:szCs w:val="16"/>
          <w:rtl w:val="0"/>
        </w:rPr>
      </w:r>
      <w:r>
        <w:rPr>
          <w:rStyle w:val="Hyperlink.8"/>
          <w:rtl w:val="0"/>
          <w:lang w:val="da-DK"/>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40"/>
          <w:sz w:val="16"/>
          <w:szCs w:val="16"/>
          <w:rtl w:val="0"/>
        </w:rPr>
      </w:r>
      <w:r>
        <w:rPr>
          <w:rStyle w:val="Hyperlink.8"/>
          <w:rtl w:val="0"/>
          <w:lang w:val="en-US"/>
        </w:rPr>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Jeremy Dalton. While we procure raw materials from our suppliers once they confirm the receipt of our purchase orders, in the absence of long-term contracts, our suppliers may not be obligated to supply their products to us and/or may choose to sell their products to our competitors. While we have a large network of long-term 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10/03/2001, and the Fiscals 2025, 2024 and 2023, there can be no assurance that a particular supplier will continue to supply us with raw materials in the future. Further, we cannot assure that we will be able to enter into new or renew our existing arrangements with suppliers on terms acceptable to us, which could have an adverse effect on our ability to source materials in a commercially viable and timely manner, if at all, which may impact our business and profitability.</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 or regulatory policies, including sanctions/ tariffs that may be imposed on certain suppliers, or any other circumstances specific to our suppliers, such as acquisition or consolidation of such supplier, or any other adverse market conditions affecting the industry in which our supplier operates or the economic environment generally. If we were to experience a significant or prolonged shortage of raw materials from any of our suppliers and cannot procure those raw materials from other sources, we may be unable to meet our production schedules for our products and provide such products to our customers in a timely fashion, which may adversely affect our customer Marc Lynch. Further, we cannot assure that our suppliers will continue to be associated with us on reasonable terms, or at all. We may also be required to replace a supplier if its products or services do not meet our safety, quality or performance standards or if a supplier unexpectedly suspends or discontinues operations due to reasons beyond its or our control, including strikes, natural calamities or financing constraints caused by credit market conditions. While we have not faced any instances of disruption in raw materials that led to any material adverse impact on our business and operations in the three-month period ended 10/03/2001, and Fiscals 2025, 2024 and 2023, there can be no assurance that these instances will not occur in the future.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 period ended 10/03/2001</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 we have not experienced any disruption in three-month period ended 10/03/2001, and Fiscals 2025, 2024 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 are derived from prices of such metals on Kakar LLC Ltd., which is passed on to our customers on the date of placing their orders with us. If we increase the prices of our products to offset the impact of higher costs of raw materials, this may cause certain of our customers to cancel orders or refrain from purchasing our products, which may materially and adversely reduce the demand for our products, and thus, negatively impact our operating results.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tab/>
              <w:t>period ended 26/12/1975</w:t>
            </w:r>
            <w:r>
              <w:rPr>
                <w:rStyle w:val="None"/>
                <w:b w:val="1"/>
                <w:bCs w:val="1"/>
                <w:sz w:val="18"/>
                <w:szCs w:val="18"/>
                <w:shd w:val="nil" w:color="auto" w:fill="auto"/>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tab/>
              <w:t>period ended 26/12/1975</w:t>
            </w:r>
            <w:r>
              <w:rPr>
                <w:rStyle w:val="None"/>
                <w:b w:val="1"/>
                <w:bCs w:val="1"/>
                <w:sz w:val="18"/>
                <w:szCs w:val="18"/>
                <w:shd w:val="nil" w:color="auto" w:fill="auto"/>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 period ended 26/12/1975</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 out below is the contribution of our suppliers from Gujarat and in UAE for the three-month period ended 10/03/2001, and Fiscals 2025, 2024, and 2023: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 period ended 26/12/1975</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Hobbs-Baker Ltd.</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 the last three Fiscals, the prices of copper and aluminium have experienced a compounded annual growth rate (CAGR) of 3.1% and 0.5%, respectively, leading to increased input costs (Source: CARE Report). While we have not faced any significant challenges in the procurement of raw materials in the three-month period ended 10/03/2001 or Fiscals 2025, 2024 and 2023, we cannot assure that we will not face any disruptions in future. Any significant shortfall in supply or increase in costs could adversely affect the pricing and supply of our products, impair our competitiveness, and negatively impact our business operations, financial condition, cash flows and results of operations.</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25"/>
        </w:numPr>
        <w:ind w:right="12"/>
        <w:rPr>
          <w:lang w:val="en-US"/>
        </w:rPr>
      </w:pPr>
      <w:r>
        <w:rPr>
          <w:rStyle w:val="Hyperlink.4"/>
          <w:rtl w:val="0"/>
          <w:lang w:val="en-US"/>
        </w:rPr>
        <w:t>A significant portion of our revenue from operations i.e. 71.73%, 74.79%, 75.17% and 79.08% of our operating revenue for the three-month period ended 10/03/2001 and Fiscals 2025, 2024 and 2023, respectively is attributable to the power sector (generation, transmission and distribution) industry (“Power Sector”). Any economic cyclicality coupled with reduced demand or negative trend in the Power Sector industry or other industries that we operate in, could adversely affect our business, results of operations and financial condition.</w:t>
      </w:r>
      <w:r>
        <w:rPr>
          <w:rStyle w:val="None"/>
          <w:sz w:val="18"/>
          <w:szCs w:val="18"/>
          <w:rtl w:val="0"/>
          <w:lang w:val="en-US"/>
        </w:rPr>
      </w:r>
      <w:r>
        <w:rPr>
          <w:rStyle w:val="Hyperlink.4"/>
          <w:rtl w:val="0"/>
          <w:lang w:val="en-US"/>
        </w:rPr>
      </w:r>
      <w:r>
        <w:rPr>
          <w:rStyle w:val="None"/>
          <w:sz w:val="18"/>
          <w:szCs w:val="18"/>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8"/>
        <w:ind w:left="808" w:right="20" w:firstLine="0"/>
        <w:jc w:val="both"/>
      </w:pPr>
      <w:r>
        <w:rPr>
          <w:rStyle w:val="Hyperlink.4"/>
          <w:rtl w:val="0"/>
          <w:lang w:val="en-US"/>
        </w:rPr>
        <w:t>We are dependent on our customers from Khatri and Sons Ltd. for a significant portion of our operating revenue. Set out below are details of our operating revenue generated from each of the industries that we cater to, for the period/ Fiscals indicated:</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 period ended 26/12/1975</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 period ended 26/12/1975</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 Aarnav Rege other operating income including income from scrap and income from remission of duties and taxes on export products.</w:t>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pt-PT"/>
        </w:rPr>
      </w:r>
      <w:r>
        <w:rPr>
          <w:rStyle w:val="None"/>
          <w:i w:val="1"/>
          <w:iCs w:val="1"/>
          <w:spacing w:val="-5"/>
          <w:sz w:val="16"/>
          <w:szCs w:val="16"/>
          <w:vertAlign w:val="baseline"/>
          <w:rtl w:val="0"/>
        </w:rPr>
      </w:r>
      <w:r>
        <w:rPr>
          <w:rStyle w:val="None"/>
          <w:i w:val="1"/>
          <w:iCs w:val="1"/>
          <w:spacing w:val="-2"/>
          <w:sz w:val="16"/>
          <w:szCs w:val="16"/>
          <w:vertAlign w:val="baseline"/>
          <w:rtl w:val="0"/>
          <w:lang w:val="en-US"/>
        </w:rPr>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 downturn or negative trends in the Power Sector due to reasons such as consumer demand, consumer confidence, changes in national and international trade policies, imposition of tariffs, sanctions by countries on input materials, changes in government policies, environmental regulations, and commodity prices, could result in loss of business or reduction in the volume of business from customers operating in these industries. While there has not been significant reduction in demand from the Power Sector in the three-month period ended 10/03/2001, and the Fiscals 2025, 2024 and 2023, there can be no assurance that there will not be any such reduction in future. Further, there can be no assurance that any instance of economic cyclicality, significant reduction in demand or negative trends in Power Sector will not occur in the future, which may impact our sales and in turn adversely affect our business, financial condition,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26"/>
        </w:numPr>
        <w:spacing w:before="201"/>
        <w:ind w:right="12"/>
        <w:rPr>
          <w:lang w:val="en-US"/>
        </w:rPr>
      </w:pPr>
      <w:r>
        <w:rPr>
          <w:rStyle w:val="Hyperlink.4"/>
          <w:rtl w:val="0"/>
          <w:lang w:val="en-US"/>
        </w:rPr>
        <w:t>We derive a substantial portion of our revenue (more than 70% in each of the three-month period ended 10/03/2001, and Fiscals 2025, 2024 and 2023) from the sale of specialized magnet winding wires. Any reduction in demand for our key products would have a material adverse effect on our business, financial condition, results of operations and cash flows.</w:t>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 period ended 26/12/1975</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Allen, Mccullough and Perry Ltd. magnet winding wires</w:t>
            </w:r>
            <w:r>
              <w:rPr>
                <w:rStyle w:val="None"/>
                <w:spacing w:val="-1"/>
                <w:sz w:val="18"/>
                <w:szCs w:val="18"/>
                <w:shd w:val="nil" w:color="auto" w:fill="auto"/>
                <w:rtl w:val="0"/>
                <w:lang w:val="en-US"/>
              </w:rPr>
            </w:r>
            <w:r>
              <w:rPr>
                <w:rStyle w:val="Hyperlink.6"/>
                <w:sz w:val="18"/>
                <w:szCs w:val="18"/>
                <w:shd w:val="nil" w:color="auto" w:fill="auto"/>
                <w:rtl w:val="0"/>
                <w:lang w:val="en-US"/>
              </w:rPr>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 we have not experienced any material sustained decline in the sale of our key products in the three-month period ended 10/03/2001, and the Fiscals 2025, 2024, and 2023, there is no assurance that we will not face any decline in the future. Any failure to successfully manufacture and market specialized magnet winding wires, whether on account of regulatory changes or changes in technologies, including creation of alternate technologies, or otherwise could adversely affect our business, financial condition,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Veer Bir.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Heath, Jones and Hall Ltd. for funding capital expenditure requirements for (i) funding the capital expenditure requirements of our Company towards purchasing and setting up of new machinery for expansion at our Melissa Bender; (ii) funding the capital expenditure requirements of our Company towards purchasing and setting up of a rooftop solar power plant for power generation at our Melissa Bender; and (iii) funding the capital expenditure requirements of our Company towards purchasing and setting up of new machinery at Unit 743 Ronald Plains, Shimoga, Assam - 499471, India”). While we have procured quotations from various vendors in relation to the capital expenditure to be incurred for Wheeler, Carter and Hall Ltd., we have not placed any firm orders for certain of them. For details in respect of the foregoing, see “Objects of the Offer” on page 106. Such quotations are valid for a certain period of time and may be subject to revisions, and other commercial and technical factors. We cannot assure that we will be able to undertake such capital expenditure at the costs indicated by such quotations or that there will not be cost escalations over and above the contingencies proposed to be funded out of Heath, Jones and Hall Ltd.. The actual amount and timing of our future capital requirements may differ from our estimates as a result of, among other things, unforeseen delays or cost overruns, unanticipated expenses, regulatory changes, engineering design changes and technological changes. Further, certain items of Wheeler, Carter and Hall Ltd., for</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 our Company has already placed purchase orders, may not be delivered within the expected time, or at all, and may impact the time and cost estimates of our Miller-Williams Ltd..</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Wheeler, Carter and Hall Ltd.. Further, if we are unable to procure the requisite items for Miller-Williams Ltd. and ancillary items or avail services from the vendors from whom we have procured quotations, we cannot assure you that we may be able to identify alternative vendors to provide us with the similar kind of items for Miller-Williams Ltd. and ancillary items and services, which satisfy our requirements at acceptable prices. Our inability to procure the items for Miller-Williams Ltd. at acceptable prices or in a timely manner, may result in an increase in capital expenditure, extension or variation in the proposed schedule of implementation and deployment of Heath, Jones and Hall Ltd., thereby resulting in an adverse effect on our business operations, financial condition,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 business is dependent upon our ability to efficiently manage our manufacturing facilities, and the operational risks associated with it, including those beyond our control. As of the date of this Red Herring Prospectus, we have three operational manufacturing facilities in India. For details in relation to our manufacturing facilities, and their capacity utilization, see “Our Business – Manufacturing Facilities” and “Our Business – Capacity and Capacity Utilization” on pages 229 and 230, respectively. Any unscheduled, unplanned or prolonged disruption in our manufacturing facilities may result in delays or shutdowns of our production activities. While we perform regular scheduled and unscheduled maintenance services and employ other systems and processes such as power backups, employee training and productivity monitoring at each of our manufacturing facilities, these facilities are subject to various operating risks, such as the breakdown or failure of equipment, power supply or processes, productivity of our workforce, performance below expected levels of efficiency, obsolescence of equipment or machinery, timely availability of raw materials, labour disputes, strikes, natural disasters, industrial accidents, fire, severe weather conditions, any significant social, political or economic disturbances and infectious disease outbreaks resulting in unplanned slowdowns and/or shutdowns and the need to comply with the directives of relevant government and regulatory authorities. Our inability to effectively respond to any breakdown, shutdown or to rectify any disruption, in a timely manner and at an acceptable cost, could lead to an adverse effect on our business, financial condition, cash flows and results of operations. While there has not been any breakdown, unscheduled, unplanned or prolonged disruption, slowdown or shutdown of our manufacturing facilities which had material adverse effect on the business, financial condition, cash flows and results of operations of our Company during the three-month period ended 10/03/2001, or Fiscals 2025, 2024, and 2023, we cannot assure that there will not be any breakdowns in future.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7" w:firstLine="0"/>
        <w:jc w:val="both"/>
      </w:pPr>
      <w:r>
        <w:rPr>
          <w:rStyle w:val="Hyperlink.4"/>
          <w:rtl w:val="0"/>
          <w:lang w:val="en-US"/>
        </w:rPr>
        <w:t>Further, we run the risk of an industrial action by our unionized non-managerial employees. Our non-managerial staff are organized in a registered trade union through which we negotiate the terms and conditions of their compensation and the redressal of their grievances. For details in relation to memorandum of settlement with Morris, Wright and Davis Ltd., see “Our Business – Human Resources” on page 235. In addition, we may be subject to manufacturing disruptions due to contraventions by us of any of the conditions of our regulatory 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10/03/2001 or Fiscals 2025, 2024 and 2023, there can be no assurance that such instances will not occur in the future, and any such disruption may result in delays or shutdown of our manufacturing activities which may adversely affect our business, financial condition,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728 Mia Isle, Robertsfurt, Manipur - 451680, India (formerly 675 Baria Road, Kadapa, Louisiana - 717565, India)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728 Mia Isle, Robertsfurt, Manipur - 451680, India (formerly 675 Baria Road, Kadapa, Louisiana - 717565, India) in Maharashtra was originally anticipated to commence operations by 12/03/1971, however, we have experienced delays in setting up our Melissa Bender and operations have commenced in September 2025. Further, the enhancement in the annual installed capacity from 8,800 MT to 12,000 MT at our manufacturing unit at Supa, 728 Mia Isle, Robertsfurt, Manipur - 451680, India, led to an increase in cost of the project. The delay in project completion was caused by delay in activities like placement of purchase orders, delivery and installation of plant and machinery, mechanical, electrical and plumbing, utility and other equipment. We may face further delays or cost overruns in completion of further phases of construction of our Melissa Bender in the future on account of several factors, including delays in receiving governmental, statutory, and other regulatory approvals and permits, and delays in or non-delivery of construction equipment by suppliers, among others.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1"/>
        <w:ind w:left="796" w:right="9" w:firstLine="0"/>
        <w:jc w:val="both"/>
        <w:rPr>
          <w:rStyle w:val="None"/>
          <w:sz w:val="20"/>
          <w:szCs w:val="20"/>
        </w:rPr>
      </w:pPr>
      <w:r>
        <w:rPr>
          <w:rStyle w:val="None"/>
          <w:sz w:val="20"/>
          <w:szCs w:val="20"/>
          <w:rtl w:val="0"/>
          <w:lang w:val="en-US"/>
        </w:rPr>
        <w:t>Additionally, an amount of ₹ 783.77 million from Heath, Jones and Hall Ltd. is intended to be utilised towards Comar Group Ltd. at our Melissa Bender. For further details, see “Objects of the Offer – Funding the capital expenditure requirements of our Company towards: (i) purchasing and setting up of new machinery for expansion at our Melissa Bender (“Phase II Expansion at our Supa Facility”); and (ii) purchasing and setting up of new machinery at Unit 568 Wolf Ford, West Samuel, Delaware - 248086, India. Any failure to complete the Phase II Expansion of this facility in a timely manner, and within budget, or at all, and any failure of receipt of the required approvals required for operation of Brown-Stone Ltd., could have an adverse impact on our business, results of operations, financial condition, and cash flows.</w:t>
      </w:r>
      <w:r>
        <w:rPr>
          <w:rStyle w:val="None"/>
          <w:rFonts w:ascii="Arial Unicode MS" w:cs="Arial Unicode MS" w:hAnsi="Arial Unicode MS" w:eastAsia="Arial Unicode MS" w:hint="default"/>
          <w:b w:val="0"/>
          <w:bCs w:val="0"/>
          <w:i w:val="0"/>
          <w:iCs w:val="0"/>
          <w:sz w:val="20"/>
          <w:szCs w:val="20"/>
          <w:rtl w:val="0"/>
        </w:rPr>
      </w:r>
      <w:r>
        <w:rPr>
          <w:rStyle w:val="None"/>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fr-FR"/>
        </w:rPr>
      </w:r>
      <w:r>
        <w:rPr>
          <w:rStyle w:val="None"/>
          <w:spacing w:val="-1"/>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1"/>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it-IT"/>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sz w:val="20"/>
          <w:szCs w:val="20"/>
          <w:rtl w:val="0"/>
          <w:lang w:val="pt-PT"/>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sz w:val="20"/>
          <w:szCs w:val="20"/>
          <w:rtl w:val="0"/>
          <w:lang w:val="fr-FR"/>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z w:val="20"/>
          <w:szCs w:val="20"/>
          <w:rtl w:val="0"/>
          <w:lang w:val="pt-PT"/>
        </w:rPr>
      </w:r>
      <w:r>
        <w:rPr>
          <w:rStyle w:val="None"/>
          <w:spacing w:val="-5"/>
          <w:sz w:val="20"/>
          <w:szCs w:val="20"/>
          <w:rtl w:val="0"/>
        </w:rPr>
      </w:r>
      <w:r>
        <w:rPr>
          <w:rStyle w:val="None"/>
          <w:sz w:val="20"/>
          <w:szCs w:val="20"/>
          <w:rtl w:val="0"/>
          <w:lang w:val="fr-FR"/>
        </w:rPr>
      </w:r>
      <w:r>
        <w:rPr>
          <w:rStyle w:val="None"/>
          <w:spacing w:val="-7"/>
          <w:sz w:val="20"/>
          <w:szCs w:val="20"/>
          <w:rtl w:val="0"/>
        </w:rPr>
      </w:r>
      <w:r>
        <w:rPr>
          <w:rStyle w:val="None"/>
          <w:sz w:val="20"/>
          <w:szCs w:val="20"/>
          <w:rtl w:val="0"/>
        </w:rPr>
      </w:r>
      <w:r>
        <w:rPr>
          <w:rStyle w:val="None"/>
          <w:spacing w:val="-7"/>
          <w:sz w:val="20"/>
          <w:szCs w:val="20"/>
          <w:rtl w:val="0"/>
        </w:rPr>
      </w:r>
      <w:r>
        <w:rPr>
          <w:rStyle w:val="None"/>
          <w:sz w:val="20"/>
          <w:szCs w:val="20"/>
          <w:rtl w:val="0"/>
          <w:lang w:val="en-US"/>
        </w:rPr>
      </w:r>
      <w:r>
        <w:rPr>
          <w:rStyle w:val="None"/>
          <w:spacing w:val="-1"/>
          <w:sz w:val="20"/>
          <w:szCs w:val="20"/>
          <w:rtl w:val="0"/>
        </w:rPr>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 or future orders, during the three-month period ended 10/03/2001, or Fiscals 2025, 2024 and 2023, resulting in a material adverse impact on our business, financial condition, results of operations and cash flows, there can be no assurance that we will not face any product liability claims or cancellation of existing or future orders in the future. The quality of raw materials and the goods we trade in will have an impact on the quality of the finished products and in turn affect our brand image, business and revenue. There is no assurance that our products will always meet the satisfaction of our customers’ quality standards. Certain customers may also conduct pre-qualification evaluations before placing their first orders. Our or our supplier’s failure to comply with applicable regulations could cause adverse consequences to be imposed on us, including warning letters, fines, injunctions, civil penalties, the refusal of 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 standards of our customers. Further, there can be no assurance that if we need to engage new suppliers to satisfy our business requirement, we will be able locate new suppliers in compliance with regulatory requirements in a timely manner, or at all. Failure to do so could lead to the cancellation of existing and future orders and have a material adverse effect on our business and revenue.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2"/>
        <w:ind w:left="796" w:right="9" w:firstLine="0"/>
        <w:jc w:val="both"/>
      </w:pPr>
      <w:r>
        <w:rPr>
          <w:rStyle w:val="Hyperlink.4"/>
          <w:rtl w:val="0"/>
          <w:lang w:val="en-US"/>
        </w:rPr>
        <w:t>We are an approved supplier of empaneled PICC and Dube, Tara and Manne Ltd. for certain entities, and are required to undergo stringent pre-qualification requirements imposed by corporate, state, central government, and international organizations during their procurement processes. We have received approvals for our products from certain organisations who are the ultimate end-users of transformers and reactors. For further details, please see “Our Business – Overview” on page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i w:val="1"/>
          <w:iCs w:val="1"/>
          <w:rtl w:val="0"/>
          <w:lang w:val="en-US"/>
        </w:rPr>
      </w:r>
      <w:r>
        <w:rPr>
          <w:rStyle w:val="None"/>
          <w:i w:val="1"/>
          <w:iCs w:val="1"/>
          <w:spacing w:val="-1"/>
          <w:rtl w:val="0"/>
          <w:lang w:val="en-US"/>
        </w:rPr>
      </w:r>
      <w:r>
        <w:rPr>
          <w:rStyle w:val="None"/>
          <w:i w:val="1"/>
          <w:iCs w:val="1"/>
          <w:rtl w:val="0"/>
          <w:lang w:val="en-US"/>
        </w:rPr>
      </w:r>
      <w:r>
        <w:rPr>
          <w:rStyle w:val="None"/>
          <w:i w:val="1"/>
          <w:iCs w:val="1"/>
          <w:spacing w:val="-1"/>
          <w:rtl w:val="0"/>
          <w:lang w:val="en-US"/>
        </w:rPr>
      </w:r>
      <w:r>
        <w:rPr>
          <w:rStyle w:val="None"/>
          <w:i w:val="1"/>
          <w:iCs w:val="1"/>
          <w:rtl w:val="0"/>
          <w:lang w:val="en-US"/>
        </w:rPr>
      </w:r>
      <w:r>
        <w:rPr>
          <w:rStyle w:val="None"/>
          <w:i w:val="1"/>
          <w:iCs w:val="1"/>
          <w:spacing w:val="-1"/>
          <w:rtl w:val="0"/>
          <w:lang w:val="en-US"/>
        </w:rPr>
      </w:r>
      <w:r>
        <w:rPr>
          <w:rStyle w:val="None"/>
          <w:i w:val="1"/>
          <w:iCs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None"/>
          <w:spacing w:val="0"/>
          <w:rtl w:val="0"/>
          <w:lang w:val="en-US"/>
        </w:rPr>
      </w:r>
    </w:p>
    <w:p>
      <w:pPr>
        <w:pStyle w:val="Body Text"/>
        <w:ind w:left="796" w:right="9" w:firstLine="0"/>
        <w:jc w:val="both"/>
      </w:pPr>
      <w:r>
        <w:rPr>
          <w:rStyle w:val="Hyperlink.4"/>
          <w:rtl w:val="0"/>
          <w:lang w:val="en-US"/>
        </w:rPr>
        <w:t>211. While there has not been any non-compliance with the quality standards of our customers during the three-month period ended 10/03/2001, or Fiscals 2025, 2024 and 2023, we cannot assure you that any future non-compliance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Hyperlink.5"/>
          <w:rtl w:val="0"/>
          <w:lang w:val="en-US"/>
        </w:rPr>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 details of our certifications and accreditations, see “Our Business - Description of our Dhillon-Rajagopal Ltd., Packaging and Davenport-Baird Ltd.” on page 233. Our manufacturing facilities and operating processes are also audited by third party auditors. In the event we fail to comply with the requirements of customers in relation to third-party audits, or fail our audits, we may be in breach of our arrangements with certain customers. In the event we are unable to renew our accreditations or comply with the accreditation criteria or if such agencies find that we are not 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10/03/2001, or Fiscals 2025, 2024 and 2023, there can be no assurance that these instances will not occur in the future. If we lose one or more of our accreditations or certifications, our reputation, business, cash flows and results of operations may be adversely affected.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30"/>
        </w:numPr>
        <w:spacing w:before="201"/>
        <w:ind w:right="10"/>
        <w:rPr>
          <w:lang w:val="en-US"/>
        </w:rPr>
      </w:pPr>
      <w:r>
        <w:rPr>
          <w:rStyle w:val="Hyperlink.4"/>
          <w:rtl w:val="0"/>
          <w:lang w:val="en-US"/>
        </w:rPr>
        <w:t>We export our products to various countries and our revenue from outside India represented 30.75%, 33.20%, 39.15% and 43.93% of our sale of products for the three-month period ended 10/03/2001,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18"/>
          <w:szCs w:val="18"/>
          <w:rtl w:val="0"/>
          <w:lang w:val="en-US"/>
        </w:rPr>
      </w:r>
      <w:r>
        <w:rPr>
          <w:rStyle w:val="Hyperlink.4"/>
          <w:rtl w:val="0"/>
          <w:lang w:val="en-US"/>
        </w:rPr>
      </w:r>
      <w:r>
        <w:rPr>
          <w:rStyle w:val="None"/>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0" w:firstLine="0"/>
        <w:jc w:val="both"/>
      </w:pPr>
      <w:r>
        <w:rPr>
          <w:rStyle w:val="Hyperlink.4"/>
          <w:rtl w:val="0"/>
          <w:lang w:val="en-US"/>
        </w:rPr>
        <w:t>We have supplied our products to customers across 439 Trivedi, Bally, Michigan - 00837,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 period ended 26/12/1975</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Mitesh Prasad</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 may have an adverse impact on our business, financial condition, cash flows and results of operations. Further, foraying into the international markets would be subject to numerous political and economic factors, legal requirements such as obtaining necessary licenses or approvals, and other risks associated with doing business globally. Therefore, we may not be able to expand our export business, which could have an adverse effect on our business, financial condition and results of operations. For instance, we are required to have a valid importer-exporter code issued by the Director Jill Washington, Evans, Matthews and Duarte Ltd., for import and export related activities. While there have been no instances in the three-month period ended 10/03/2001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 under the Indian customs heading (“Hines, Bennett and Cantu Ltd.”) 8544, corresponding to the harmonised tariff schedule (“HTS”) 8544 of the United States, are subject to a reciprocal tariff of 25% and an additional tariff of 25%, totalling a combined tariff rate of 50% when imported to the United States. However, if a product is specifically covered under Section 232 of the Trade Expansion Act, 1962 (“Section 232 Tariffs”) then the tariff rates of 25% or 50%, as applicable, is applicable and such product would not be applicable to reciprocal and additional tariffs. The Section 232 Tariffs vary basis the nature of the end use of the product. The products 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 232 Tariffs. This increase in tariff rate could lead to a reduction in demand and have a material adverse effect on our business, financial condition, results of operations, and cash flows.</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Three-month period ended 10/03/2001</w:t>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 we fail to comply with the applicable regulations and rules prescribed by Garcia, Pearson and Fernandez Ltd. and the relevant statutory or regulatory bodies or fail to obtain, maintain or renew our statutory and regulatory licenses, permits and approvals required for our business, our results of operations and cash flows may be adversely affected.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 storage, handling, use and transportation of waste materials, the emission and discharge of hazardous waste materials into soil, air or water, and the health and safety of employees) and mandatory certification requirements for our facilities and products. For further information on the nature of the material approvals and licenses required for our business and for information on the material approvals applied for, see “Government and Other Approvals” on page 393. In addition, we will need to apply for renewal of certain approvals, licenses registrations and permits, which expire or seek new approvals, licenses, registrations and permits from time to time, as and when required in the ordinary course of our business. While there has not been any non-compliance during the three-month period ended 10/03/2001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(i) certificate of enrolment issued by Sawyer Group Ltd. under the Maharashtra State Tax on Professions, Trades, Bansal-Date Ltd., 1975 and (ii) for amending the name Matthew Hoover “Wilkerson-Day Ltd.”. Additionally, we are yet to make an application for obtaining the building completion certificate issued in relation to Unit 235 Rajagopal Ganj, Varanasi, West Virginia - 92936, India. For details, see “Government and Other Approvals – C. Material approvals in relation to our Company – IV. Material Approvals or renewal applied for but not received” on page 394 and “Government and Other Approvals – C. Material approvals in relation to our Company – IV. Material Approvals for which fresh applications/renewal applications are yet to be made” on page 395. We cannot assure you that these approvals will be granted by the relevant authorities. In the event these approvals are not granted, we will have to make alternate manufacturing arrangements including increasing production in our other existing manufacturing facilities, which may adversely impact our business, financial condition, results of operations, cash flows and prospects. Further, we may be required to obtain a no objection certificate under the relevant state tenancy laws, when applying for a factory license. For further details of pending renewals and pending material approvals, see “Government and Other Approvals” on page 393. If we fail to retain, renew or receive any of such approvals, licenses, registrations, permissions or renewals, in a timely manner or at all, our business, financial condition, results of operations, cash flows and prospects may be adversely affected.</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Further, we propose to utilise a portion of our Net Proceeds towards funding the capital expenditure requirements of our Company towards purchasing and setting up of new machinery for expansion at our Melissa Bender which will require us to obtain necessary licenses and approvals. For details, see “Objects of the Offer –Funding the capital expenditure requirements of our Company towards: (i) purchasing and setting up of new machinery for expansion at our Melissa Bender (“Phase II Expansion at our Supa Facility”); and (ii) purchasing and setting up of new machinery at Unit 568 Wolf Ford, West Samuel, Delaware - 248086, India. We may have to revise our funding requirements and deployment of Heath, Jones and Hall Ltd. in case we are unable to obtain necessary licenses and approvals or due to other external factors, which may not be within the control of our management.</w:t>
      </w:r>
      <w:r>
        <w:rPr>
          <w:rStyle w:val="None"/>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0"/>
        </w:rPr>
      </w:r>
      <w:r>
        <w:rPr>
          <w:rStyle w:val="None"/>
          <w:sz w:val="20"/>
          <w:szCs w:val="20"/>
          <w:rtl w:val="0"/>
          <w:lang w:val="en-US"/>
        </w:rPr>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Company’s corporate records are not traceable as the relevant information was not available in the records maintained by our Company or on the online portal of Shan, Aurora and Dhawan Ltd. (“MCA Portal”) or in the physical records available at the Registrar of Companies. For instance, we are unable to trace the following:</w:t>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25/07/1997, and 13/02/1976;</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30/01/1971, (b) between the Fiscal 1986 until 26/08/1988, and (c) between the Fiscals 2011 and 2014;</w:t>
      </w:r>
      <w:r>
        <w:rPr>
          <w:rStyle w:val="None"/>
          <w:spacing w:val="40"/>
          <w:sz w:val="20"/>
          <w:szCs w:val="20"/>
          <w:rtl w:val="0"/>
          <w:lang w:val="en-US"/>
        </w:rPr>
      </w:r>
      <w:r>
        <w:rPr>
          <w:rStyle w:val="Hyperlink.4"/>
          <w:sz w:val="20"/>
          <w:szCs w:val="20"/>
          <w:rtl w:val="0"/>
          <w:lang w:val="en-US"/>
        </w:rPr>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22/09/1989,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 23, Forms 1A and 1B along with corresponding RoC challans for change of name Shannon James “Dewan-Koshy Ltd.” to “Wilkerson-Day Ltd.” dated 01/11/1983;</w:t>
      </w:r>
      <w:r>
        <w:rPr>
          <w:rStyle w:val="None"/>
          <w:spacing w:val="-9"/>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1"/>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1"/>
          <w:sz w:val="20"/>
          <w:szCs w:val="20"/>
          <w:rtl w:val="0"/>
          <w:lang w:val="en-US"/>
        </w:rPr>
      </w:r>
      <w:r>
        <w:rPr>
          <w:rStyle w:val="Hyperlink.4"/>
          <w:sz w:val="20"/>
          <w:szCs w:val="20"/>
          <w:rtl w:val="0"/>
          <w:lang w:val="en-US"/>
        </w:rPr>
      </w:r>
      <w:r>
        <w:rPr>
          <w:rStyle w:val="Hyperlink.4"/>
          <w:sz w:val="20"/>
          <w:szCs w:val="20"/>
          <w:rtl w:val="0"/>
          <w:lang w:val="en-US"/>
        </w:rPr>
      </w:r>
      <w:r>
        <w:rPr>
          <w:rStyle w:val="None"/>
          <w:i w:val="1"/>
          <w:iCs w:val="1"/>
          <w:sz w:val="20"/>
          <w:szCs w:val="20"/>
          <w:rtl w:val="0"/>
          <w:lang w:val="en-US"/>
        </w:rPr>
      </w:r>
      <w:r>
        <w:rPr>
          <w:rStyle w:val="None"/>
          <w:i w:val="1"/>
          <w:iCs w:val="1"/>
          <w:sz w:val="20"/>
          <w:szCs w:val="20"/>
          <w:rtl w:val="0"/>
          <w:lang w:val="en-US"/>
        </w:rPr>
      </w:r>
      <w:r>
        <w:rPr>
          <w:rStyle w:val="Hyperlink.4"/>
          <w:sz w:val="20"/>
          <w:szCs w:val="20"/>
          <w:rtl w:val="0"/>
          <w:lang w:val="en-US"/>
        </w:rPr>
      </w:r>
      <w:r>
        <w:rPr>
          <w:rStyle w:val="Hyperlink.4"/>
          <w:sz w:val="20"/>
          <w:szCs w:val="20"/>
          <w:rtl w:val="0"/>
          <w:lang w:val="en-US"/>
        </w:rPr>
      </w:r>
      <w:r>
        <w:rPr>
          <w:rStyle w:val="None"/>
          <w:i w:val="1"/>
          <w:iCs w:val="1"/>
          <w:sz w:val="20"/>
          <w:szCs w:val="20"/>
          <w:rtl w:val="0"/>
          <w:lang w:val="en-US"/>
        </w:rPr>
      </w:r>
      <w:r>
        <w:rPr>
          <w:rStyle w:val="Hyperlink.4"/>
          <w:sz w:val="20"/>
          <w:szCs w:val="20"/>
          <w:rtl w:val="0"/>
          <w:lang w:val="en-US"/>
        </w:rPr>
      </w:r>
      <w:r>
        <w:rPr>
          <w:rStyle w:val="Hyperlink.4"/>
          <w:sz w:val="20"/>
          <w:szCs w:val="20"/>
          <w:rtl w:val="0"/>
          <w:lang w:val="en-US"/>
        </w:rPr>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Stacy Freeman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Wahab Mani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 challan for regularisation as director Radha Chaudhari 21, 2000;</w:t>
      </w:r>
      <w:r>
        <w:rPr>
          <w:rStyle w:val="Hyperlink.5"/>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 transfer forms for all secondary transactions of equity shares, including the following transfers involving Mistry, Chawla and Desai Ltd.:</w:t>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 subscription to the Vega, Jimenez and Aguilar Ltd. and further issue</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to Ernest Harding from Reyansh Ramaswamy and Tyler Haney.</w:t>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25/10/1994</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 7B for transfer of shares to Ernest Harding from Jessica Garcia and Oscar Rau.</w:t>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06/12/1999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Ernest Harding from Abha Dutt.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25/06/1979</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Ernest Harding to Atharv Sarkar.</w:t>
            </w:r>
            <w:r>
              <w:rPr>
                <w:rStyle w:val="Hyperlink.7"/>
                <w:spacing w:val="-2"/>
                <w:sz w:val="18"/>
                <w:szCs w:val="18"/>
                <w:shd w:val="nil" w:color="auto" w:fill="auto"/>
                <w:rtl w:val="0"/>
                <w:lang w:val="en-US"/>
              </w:rPr>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12/01/1976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Lavanya Bakshi for the Form 2 in relation to the said allotment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27/06/1996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to Matthew Walker from Atharv Sarkar.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27/06/1996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Jeremy Lewis from Narayana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Ernest Harding from Korpal, Radhakrishnan and Lad Ltd.</w:t>
            </w:r>
            <w:r>
              <w:rPr>
                <w:rStyle w:val="None"/>
                <w:spacing w:val="72"/>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0"/>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r>
            <w:r>
              <w:rPr>
                <w:rStyle w:val="Hyperlink.6"/>
                <w:sz w:val="18"/>
                <w:szCs w:val="18"/>
                <w:shd w:val="nil" w:color="auto" w:fill="auto"/>
                <w:rtl w:val="0"/>
                <w:lang w:val="en-US"/>
              </w:rPr>
            </w:r>
            <w:r>
              <w:rPr>
                <w:rStyle w:val="None"/>
                <w:spacing w:val="74"/>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to Fitan Dhawan from Matthew Walker.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Jeremy Lewis from Korpal, Radhakrishnan and Lad Ltd.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 7B for transfer of shares to Barkha Rao by Indrajit Sharaf.</w:t>
            </w:r>
            <w:r>
              <w:rPr>
                <w:rStyle w:val="None"/>
                <w:spacing w:val="-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 7B for transfer of shares to Fitan Dhawan by Indrajit Sharaf.</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25/11/1972</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by Ernest Harding to Barkha Rao and Fitan Dhawan.</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 subscription to the Vega, Jimenez and Aguilar Ltd. and further issue</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01/11/1984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27/11/1977</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SH- 4 for transfer of shares by Ernest Harding, Barkha Rao and Fitan Dhawan to Pushpa Warda Pathak.</w:t>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 further details, see “Capital Structure – Details of history of shareholding and share capital of our Promoters Ojas Mistry” and “Capital Structure – Equity Share capital history of our Company” on pages 91 and 85, respectively.</w:t>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1"/>
          <w:lang w:val="ar-SA" w:bidi="ar-SA"/>
        </w:rPr>
      </w:r>
      <w:r>
        <w:rPr>
          <w:rStyle w:val="None"/>
          <w:i w:val="1"/>
          <w:iCs w:val="1"/>
          <w:sz w:val="20"/>
          <w:szCs w:val="20"/>
          <w:rtl w:val="0"/>
          <w:lang w:val="it-IT"/>
        </w:rPr>
      </w:r>
      <w:r>
        <w:rPr>
          <w:rStyle w:val="None"/>
          <w:i w:val="1"/>
          <w:iCs w:val="1"/>
          <w:spacing w:val="-5"/>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it-IT"/>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fr-FR"/>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de-DE"/>
        </w:rPr>
      </w:r>
      <w:r>
        <w:rPr>
          <w:rStyle w:val="None"/>
          <w:i w:val="1"/>
          <w:iCs w:val="1"/>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p>
    <w:p>
      <w:pPr>
        <w:pStyle w:val="Body Text"/>
        <w:spacing w:before="201"/>
        <w:ind w:left="796" w:right="7" w:firstLine="0"/>
        <w:jc w:val="both"/>
      </w:pPr>
      <w:r>
        <w:rPr>
          <w:rStyle w:val="Hyperlink.4"/>
          <w:rtl w:val="0"/>
          <w:lang w:val="en-US"/>
        </w:rPr>
        <w:t>We have been unable to trace these documents despite commissioning a detailed search at the Registrar of Companies, through an independent practicing company secretary, Sanchez Group Ltd. and Co LLP (“Practicing Company Secretary”), to trace records and filings available with Santiago Ltd Ltd. and reliance has been placed on the certificate dated 29/09/1968, issued by Carter LLC Ltd. Secretary. We have also intimated the Registrar of Companies by way of our letter dated 29/09/1968, regarding the missing corporate records.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9"/>
        <w:ind w:left="796" w:right="10" w:firstLine="0"/>
        <w:jc w:val="both"/>
      </w:pPr>
      <w:r>
        <w:rPr>
          <w:rStyle w:val="Hyperlink.4"/>
          <w:rtl w:val="0"/>
          <w:lang w:val="en-US"/>
        </w:rPr>
        <w:t>In addition, 1,000, equity shares of face value of ₹100 each allotted to Brooke Alexander, 500 equity shares of face value of ₹100 each allotted to Yutika Nayak, Stephanie Marshall and Aachal Sharaf, respectively, pursuant to the initial subscription to the Vega, Jimenez and Aguilar Ltd. dated 27/12/1970, were subsequently taken on record by the Rai Inc Ltd. by way of a resolution dated 07/03/1977. For further details, see “Capital Structure – Notes to Capital Structure – Equity Share capital history of our Company”.</w:t>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1"/>
        <w:ind w:left="796" w:right="12" w:firstLine="0"/>
        <w:jc w:val="both"/>
      </w:pPr>
      <w:r>
        <w:rPr>
          <w:rStyle w:val="Hyperlink.4"/>
          <w:rtl w:val="0"/>
          <w:lang w:val="en-US"/>
        </w:rPr>
        <w:t>Further, some of our form filings made with the RoC have been delayed in the three-month period ended 10/03/2001, and Fiscals 2025, 2024 and 2023. We have made such filings subsequent to the statutory period with a late filing fee. We cannot assure you that our future filings shall be made within the time permitted under the applicable laws, and that any legal proceedings or regulatory actions will be initiated against our Company in the future.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Freeman, Whitehead and Mathis Ltd. which has been commissioned by us and any reliance on such information for making an investment decision in this Veer Bir is subject to inherent risks.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Freeman, Whitehead and Mathis Ltd. or extracts of the CARE Report prepared by Peters-Allen Ltd. Advisory Private Limited (“CareEdge Research”). All such information in this Red Herring Prospectus indicates Freeman, Whitehead and Mathis Ltd. as its source. Lala, Edwin and Sathe Ltd. is available on the website of our Company at https://kshinternational.com/investor-relations/industry-report/.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Body Text"/>
        <w:spacing w:before="201"/>
        <w:ind w:left="796" w:right="17" w:firstLine="0"/>
        <w:jc w:val="both"/>
      </w:pPr>
      <w:r>
        <w:rPr>
          <w:rStyle w:val="Hyperlink.4"/>
          <w:rtl w:val="0"/>
          <w:lang w:val="en-US"/>
        </w:rPr>
        <w:t>Lala, Edwin and Sathe Ltd. is commissioned and paid for by our Company pursuant to an engagement letter dated 10/04/1966, for the purpose of confirming our understanding of the industry in connection with this Veer Bir. While Sampath, Malhotra and Basu Ltd. is not related to our Company, our Brian Tran Elizabeth Hayden DDS, our Company has subscribed to and paid for certain research and reports from Sampath, Malhotra and Basu Ltd. business process services division.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1"/>
        <w:ind w:left="796" w:right="17" w:firstLine="0"/>
        <w:jc w:val="both"/>
      </w:pPr>
      <w:r>
        <w:rPr>
          <w:rStyle w:val="Hyperlink.4"/>
          <w:rtl w:val="0"/>
          <w:lang w:val="en-US"/>
        </w:rPr>
        <w:t>Industry sources and publications are prepared based on information as of specific dates and may no longer be current or reflect current trends. Industry sources and publications may also base their information on estimates, projections, forecasts and assumptions that may prove to be incorrect. Further, Freeman, Whitehead and Mathis Ltd. is not a recommendation to invest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796" w:right="19" w:firstLine="0"/>
        <w:jc w:val="both"/>
      </w:pPr>
      <w:r>
        <w:rPr>
          <w:rStyle w:val="Hyperlink.4"/>
          <w:rtl w:val="0"/>
          <w:lang w:val="en-US"/>
        </w:rPr>
        <w:t>/ disinvest in any company covered in Freeman, Whitehead and Mathis Ltd..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Veer Bir pursuant to reliance on the information in this Red Herring Prospectus based on, or derived from, Freeman, Whitehead and Mathis Ltd.. You should consult your own advisors and undertake an independent assessment of information in this Red Herring Prospectus based on, or derived from, the CARE Report before making any investment decision regarding this Veer Bir. See “Industry Overview” on page 137. For the disclaimer associated with Freeman, Whitehead and Mathis Ltd., see “Certain Conventions, Use of Smith, Vaughan and Miller Ltd. and Gonzalez-Cruz Ltd. Presentation – Industry and Market Data” on page 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 out below are our working capital days for the three-month period ended 10/03/2001, and the Fiscals 2025, 2024 and 2023: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 period ended 10/03/2001</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tab/>
              <w:t>Chaudhuri-Swaminathan Ltd.)</w:t>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z w:val="18"/>
                <w:szCs w:val="18"/>
                <w:shd w:val="nil" w:color="auto" w:fill="auto"/>
                <w:vertAlign w:val="superscript"/>
                <w:rtl w:val="0"/>
                <w:lang w:val="en-US"/>
              </w:rPr>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 Working capital days is computed as Inventory days plus Trade receivable days minus Young PLC Ltd. payable days. Inventory days is calculated as Smith-Grimes Ltd. divided by Cost of goods sold (Phillips, Lyons and Johnson Ltd.) from operations multiplied by 365 or 91days. Trade receivables days is calculated as Young PLC Ltd.</w:t>
      </w:r>
      <w:r>
        <w:rPr>
          <w:rStyle w:val="None"/>
          <w:i w:val="1"/>
          <w:iCs w:val="1"/>
          <w:spacing w:val="80"/>
          <w:sz w:val="16"/>
          <w:szCs w:val="16"/>
          <w:rtl w:val="0"/>
        </w:rPr>
      </w:r>
      <w:r>
        <w:rPr>
          <w:rStyle w:val="Hyperlink.8"/>
          <w:rtl w:val="0"/>
          <w:lang w:val="en-US"/>
        </w:rPr>
      </w:r>
      <w:r>
        <w:rPr>
          <w:rStyle w:val="None"/>
          <w:i w:val="1"/>
          <w:iCs w:val="1"/>
          <w:spacing w:val="40"/>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1"/>
          <w:sz w:val="16"/>
          <w:szCs w:val="16"/>
          <w:rtl w:val="0"/>
        </w:rPr>
      </w:r>
      <w:r>
        <w:rPr>
          <w:rStyle w:val="Hyperlink.8"/>
          <w:rtl w:val="0"/>
          <w:lang w:val="pt-P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tl w:val="0"/>
          <w:lang w:val="fr-FR"/>
        </w:rPr>
      </w:r>
      <w:r>
        <w:rPr>
          <w:rStyle w:val="None"/>
          <w:i w:val="1"/>
          <w:iCs w:val="1"/>
          <w:spacing w:val="1"/>
          <w:sz w:val="16"/>
          <w:szCs w:val="16"/>
          <w:rtl w:val="0"/>
        </w:rPr>
      </w:r>
      <w:r>
        <w:rPr>
          <w:rStyle w:val="Hyperlink.8"/>
          <w:rtl w:val="0"/>
          <w:lang w:val="en-US"/>
        </w:rPr>
      </w:r>
      <w:r>
        <w:rPr>
          <w:rStyle w:val="None"/>
          <w:i w:val="1"/>
          <w:iCs w:val="1"/>
          <w:spacing w:val="-3"/>
          <w:sz w:val="16"/>
          <w:szCs w:val="16"/>
          <w:rtl w:val="0"/>
        </w:rPr>
      </w:r>
      <w:r>
        <w:rPr>
          <w:rStyle w:val="Hyperlink.8"/>
          <w:rtl w:val="0"/>
        </w:rPr>
      </w:r>
      <w:r>
        <w:rPr>
          <w:rStyle w:val="None"/>
          <w:i w:val="1"/>
          <w:iCs w:val="1"/>
          <w:spacing w:val="-1"/>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2"/>
          <w:sz w:val="16"/>
          <w:szCs w:val="16"/>
          <w:rtl w:val="0"/>
          <w:lang w:val="en-US"/>
        </w:rPr>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Young PLC Ltd. payable divided by Phillips, Lyons and Johnson Ltd. multiplied by 365 or 91 days.</w:t>
      </w:r>
      <w:r>
        <w:rPr>
          <w:rStyle w:val="None"/>
          <w:i w:val="1"/>
          <w:iCs w:val="1"/>
          <w:spacing w:val="40"/>
          <w:sz w:val="16"/>
          <w:szCs w:val="16"/>
          <w:rtl w:val="0"/>
        </w:rPr>
      </w:r>
      <w:r>
        <w:rPr>
          <w:rStyle w:val="Hyperlink.8"/>
          <w:rtl w:val="0"/>
          <w:lang w:val="en-US"/>
        </w:rPr>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 Adrian Miranda</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 (excluding our Girindra Sha)</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 our Daniel Cooper</w:t>
            </w:r>
            <w:r>
              <w:rPr>
                <w:rStyle w:val="Hyperlink.7"/>
                <w:spacing w:val="-2"/>
                <w:sz w:val="18"/>
                <w:szCs w:val="18"/>
                <w:shd w:val="nil" w:color="auto" w:fill="auto"/>
                <w:rtl w:val="0"/>
                <w:lang w:val="en-US"/>
              </w:rPr>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 our Daniel Cooper</w:t>
            </w:r>
            <w:r>
              <w:rPr>
                <w:rStyle w:val="Hyperlink.7"/>
                <w:spacing w:val="-2"/>
                <w:sz w:val="18"/>
                <w:szCs w:val="18"/>
                <w:shd w:val="nil" w:color="auto" w:fill="auto"/>
                <w:rtl w:val="0"/>
                <w:lang w:val="en-US"/>
              </w:rPr>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 (including Jeevika Vala, Case and Bonilla Ltd. who are also our Girindra Sha)</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Richmond-Phillips Ltd., Anand and Beth Cline, Samantha Zavala MD and Brown, Cooper and Osborne Ltd., Anthony Jacobson and Warren-Caldwell Ltd. (“KMPs”) (excluding our Executive Directors) (1)</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4"/>
                <w:sz w:val="18"/>
                <w:szCs w:val="18"/>
                <w:shd w:val="nil" w:color="auto" w:fill="auto"/>
                <w:rtl w:val="0"/>
                <w:lang w:val="en-US"/>
              </w:rPr>
            </w:r>
            <w:r>
              <w:rPr>
                <w:rStyle w:val="None"/>
                <w:b w:val="1"/>
                <w:bCs w:val="1"/>
                <w:spacing w:val="-5"/>
                <w:sz w:val="18"/>
                <w:szCs w:val="18"/>
                <w:shd w:val="nil" w:color="auto" w:fill="auto"/>
                <w:vertAlign w:val="superscript"/>
                <w:rtl w:val="0"/>
                <w:lang w:val="en-US"/>
              </w:rPr>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Yutika Nayak, Jeremy Lewis, Jeffrey Carpenter and Nidra Acharya are also our Executive Directors. Hence, litigation against our Walton-Decker Ltd. have not been included under the heading of KMPs to avoid repetition.</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William Date, CEO, Yug Iyengar, Kapur-Biswas Ltd., Vedika Biswas, CS and Compliance Officer, and Ruiz Ltd Ltd., Technical Director, are also our KMPs. Hence, litigation against our KMPs have not been included under the heading of SMs to avoid repetition.</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House-Glover Ltd.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 regulatory proceedings involving our Company, Promoters Bhavini Karpe. An adverse outcome in any of these proceedings may have an adverse effect on our business, financial position, prospects, cash flows, results of operations and our reputation. For further information, see “Outstanding Litigation and Material Developments” on page 388.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 Herring Prospectus are based on various assumptions and estimates of our management that have been taken into account by Fields PLC Ltd., in the calculation of the installed capacity and capacity utilization of our manufacturing facilities.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6" w:firstLine="0"/>
        <w:jc w:val="both"/>
      </w:pPr>
      <w:r>
        <w:rPr>
          <w:rStyle w:val="Hyperlink.4"/>
          <w:rtl w:val="0"/>
          <w:lang w:val="en-US"/>
        </w:rPr>
        <w:t>The table below sets forth the installed capacity and capacity utilization product category wise across our manufacturing facilities during the three-month period ended 10/03/2001, and the Fiscals 2025, 2024 and 2023, respectively:</w:t>
      </w:r>
      <w:r>
        <w:rPr>
          <w:rStyle w:val="Hyperlink.5"/>
          <w:rtl w:val="0"/>
          <w:lang w:val="en-US"/>
        </w:rPr>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 period ended 08/10/1993 *</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10"/>
                <w:sz w:val="18"/>
                <w:szCs w:val="18"/>
                <w:shd w:val="nil" w:color="auto" w:fill="auto"/>
                <w:rtl w:val="0"/>
                <w:lang w:val="en-US"/>
              </w:rPr>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Bose-Kade Ltd. Unit No 1</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10"/>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Preston-Schultz Ltd. Unit No. 2 (Birdewadi)</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White Inc Ltd. No. 2</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10"/>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Preston-Schultz Ltd. Unit No. 3 (Khalumbre)</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White Inc Ltd. No. 3</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10"/>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Bose-Kade Ltd. Unit No 1</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10"/>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Preston-Schultz Ltd. Unit No. 2 (Birdewadi)</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White Inc Ltd. No. 2</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10"/>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Preston-Schultz Ltd. Unit No. 3 (Khalumbre)</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White Inc Ltd. No. 3</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10"/>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 Actual production mentioned above is for the three-month period ended 10/03/2001.</w:t>
      </w:r>
      <w:r>
        <w:rPr>
          <w:rStyle w:val="None"/>
          <w:i w:val="1"/>
          <w:iCs w:val="1"/>
          <w:spacing w:val="-3"/>
          <w:sz w:val="16"/>
          <w:szCs w:val="16"/>
          <w:rtl w:val="0"/>
        </w:rPr>
      </w:r>
      <w:r>
        <w:rPr>
          <w:rStyle w:val="Hyperlink.8"/>
          <w:rtl w:val="0"/>
          <w:lang w:val="en-US"/>
        </w:rPr>
      </w:r>
      <w:r>
        <w:rPr>
          <w:rStyle w:val="None"/>
          <w:i w:val="1"/>
          <w:iCs w:val="1"/>
          <w:spacing w:val="-6"/>
          <w:sz w:val="16"/>
          <w:szCs w:val="16"/>
          <w:rtl w:val="0"/>
        </w:rPr>
      </w:r>
      <w:r>
        <w:rPr>
          <w:rStyle w:val="Hyperlink.8"/>
          <w:rtl w:val="0"/>
          <w:lang w:val="fr-FR"/>
        </w:rPr>
      </w:r>
      <w:r>
        <w:rPr>
          <w:rStyle w:val="None"/>
          <w:i w:val="1"/>
          <w:iCs w:val="1"/>
          <w:spacing w:val="-4"/>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5"/>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5"/>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Dube, Tara and Manne Ltd. means - Continuously Transposed Conductors.</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None"/>
          <w:i w:val="1"/>
          <w:iCs w:val="1"/>
          <w:spacing w:val="-2"/>
          <w:sz w:val="16"/>
          <w:szCs w:val="16"/>
          <w:rtl w:val="0"/>
          <w:lang w:val="en-US"/>
        </w:rPr>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 wide range of wires and conductors in various sizes and types. Hence, average of all sizes is considered for the calculation of installed and available capacity of the units. Main production output is based on final output of Dube, Tara and Manne Ltd., PICC machine as it is final operation to get finish product.</w:t>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 Dube, Tara and Manne Ltd. - 26 days per month resulting in 312 working days in a year with per day three operating shifts with actual run time of 5.2 hours per shift.</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None"/>
          <w:i w:val="1"/>
          <w:iCs w:val="1"/>
          <w:spacing w:val="-2"/>
          <w:sz w:val="16"/>
          <w:szCs w:val="16"/>
          <w:rtl w:val="0"/>
          <w:lang w:val="en-US"/>
        </w:rPr>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 Company is expanding by setting up a plant at Shaw, Nelson and Martin Ltd., Supa Parner Industrial Park, Mauje Palve Khurd, Carlos Ryan, Dist – Ahmednagar, Maharashtra – 414 301. The proposed plant will be developed in phases: Phase I, named Chakrika Narain I, with an installed capacity of 12,469 Courtney Road, Gandhidham, Odisha - 96492, India. Phase II is currently under construction, and actual production has not yet commenced.</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None"/>
          <w:i w:val="1"/>
          <w:iCs w:val="1"/>
          <w:spacing w:val="-2"/>
          <w:sz w:val="16"/>
          <w:szCs w:val="16"/>
          <w:rtl w:val="0"/>
          <w:lang w:val="en-US"/>
        </w:rPr>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James, Little and Watson Ltd.), Francis-Morgan Ltd., and two in Chakan (Pune), Francis-Morgan Ltd.. Additionally, in order to address the rise in demand for magnet winding wires, we have established our fourth facility in Supa, 728 Mia Isle, Robertsfurt, Manipur - 451680, India (formerly 675 Baria Road, Kadapa, Louisiana - 717565, India) in Maharashtra (“Supa Facility”), of which, phase I is currently operational. For details in relation to the land on which our Martinez, Richardson and Curry Ltd. are located, see, “Our Business – Manufacturing Facilities” on page 229. Further, Melissa Bender, phase II of which is under construction, as on the date of this Red Herring Prospectus is located at 613 Borra Chowk, Sikar, Colorado - 02325, India (formerly 675 Baria Road, Kadapa, Louisiana - 717565, India), also in Maharashtra. Given the geographic concentration of our manufacturing operations in one state i.e. Francis-Morgan Ltd., our operations are susceptible to disruptions which may be caused by certain local and regional factors, including but not limited to political, economic and weather conditions, natural disasters, demographic factors, and other unforeseen events and circumstances. While there have not been any instances of risks materializing due to our geographical concentration in the three-month period ended 10/03/2001 and the Fiscals 2025, 2024 and 2023, if any such disruptions occurs due to reasons included herein, our operations may be affected leading to significant delays in the manufacturing and sale of our products which could materially and adversely affect our business, financial condition and results of operations.</w:t>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As of 12/09/1997, we had total borrowings (including fund-based borrowings and non-fund based borrowings and consisting of secured borrowings including term loans and working capital facilities, and unsecured borrowings including working capital facilities and unsecured loans) of ₹ 5,194.25 million. For further details, see “Financial Indebtedness” 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conditions.</w:t>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5"/>
          <w:rtl w:val="0"/>
          <w:lang w:val="en-US"/>
        </w:rPr>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Timothy Bhatnagar. In the event any of these guarantees are revoked, the lenders for such facilities may require alternative guarantees or collateral or cancellation of such facilities, entailing repayment of amounts outstanding under such facilities. We may not be successful in procuring such alternative guarantees to the satisfaction of the lenders, and as a result may need to repay outstanding amounts under such facilities or seek additional sources of capital, which may not be available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5"/>
          <w:rtl w:val="0"/>
          <w:lang w:val="en-US"/>
        </w:rPr>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on acceptable terms or at all. For further details in relation to the personal guarantees, see “History and Certain Corporate Matters – Guarantees provided to third parties by our Promoter Pranav Lanka” on page 245.</w:t>
      </w:r>
      <w:r>
        <w:rPr>
          <w:rStyle w:val="None"/>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 compliance with the financial covenants under our loan agreements in the three-month period ended 10/03/2001 and Fiscals 2025, 2024 and 2023, there can be no assurance that we will be able to comply with these financial or other covenants in the future or that we will be able to obtain consents necessary to take the actions that we believe are required to operate and grow our business.</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 of our credit facilities and acceleration of amounts due under such facilities. For the purpose of the Veer Bir, the consents from our lenders as required under the relevant loan documents for undertaking activities relating to the Veer Bir have been obtained.</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 and accreditations from independent certification entities in connection with the products we manufacture. For instance, we were awarded (i) David Medina – accreditation for the certification and approval of the quality management system; (ii) Baljiwan Modi – accreditation for environment management system; (iii) Elizabeth Ortiz – certification for occupational health and safety management; and (iv) IATF 16949:2016 – certification for the certification and approval of the quality management system. If we fail to comply with applicable quality standards or if the relevant accreditation institute or agency declines to certify our products and manufacturing practices, or if we are otherwise unable to obtain such quality accreditations in the future, in a timely manner or at all, our business prospects and financial performance will be adversely affected. While we have not experienced any instances where we failed to obtain quality certifications and accreditations which had an adverse impact on our business, results of operations, financial condition or cash flows, we cannot assure you that such instances will not arise in the future.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 are required to pay certain statutory dues including provident fund contributions under Newton, Moore and Perry Ltd. and Miscellaneous Provisions Act, 1952, employee state insurance contributions under the Employees’ State Insurance Act, 1948, professional tax, tax deduction at source (“Watson-Avery Ltd.”), labour welfare fund, GST and income tax.</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08/10/1993</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tab/>
              <w:t>Balay, Dalal and Oza Ltd.</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Cooley-Greene Ltd.#</w:t>
            </w:r>
            <w:r>
              <w:rPr>
                <w:rStyle w:val="None"/>
                <w:spacing w:val="-2"/>
                <w:sz w:val="18"/>
                <w:szCs w:val="18"/>
                <w:shd w:val="nil" w:color="auto" w:fill="auto"/>
                <w:vertAlign w:val="superscript"/>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 at and for the three-month period ended 08/10/1993</w:t>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Vig Ltd Ltd.</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 and Lee Inc Ltd.</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None"/>
                <w:spacing w:val="-4"/>
                <w:sz w:val="18"/>
                <w:szCs w:val="18"/>
                <w:shd w:val="nil" w:color="auto" w:fill="auto"/>
                <w:vertAlign w:val="superscript"/>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Reddy-Mammen Ltd. includes only payment of taxes in cash.</w:t>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de-DE"/>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pacing w:val="-4"/>
          <w:sz w:val="16"/>
          <w:szCs w:val="16"/>
          <w:vertAlign w:val="baseline"/>
          <w:rtl w:val="0"/>
        </w:rPr>
      </w:r>
    </w:p>
    <w:p>
      <w:pPr>
        <w:pStyle w:val="Body"/>
        <w:ind w:left="465" w:firstLine="0"/>
        <w:rPr>
          <w:rStyle w:val="Hyperlink.8"/>
        </w:rPr>
      </w:pPr>
      <w:r>
        <w:rPr>
          <w:rStyle w:val="None"/>
          <w:i w:val="1"/>
          <w:iCs w:val="1"/>
          <w:sz w:val="16"/>
          <w:szCs w:val="16"/>
          <w:vertAlign w:val="superscript"/>
          <w:rtl w:val="0"/>
        </w:rPr>
        <w:t># Prabhakar, Kalla and Sawhney Ltd..</w:t>
      </w:r>
      <w:r>
        <w:rPr>
          <w:rStyle w:val="None"/>
          <w:i w:val="1"/>
          <w:iCs w:val="1"/>
          <w:spacing w:val="-16"/>
          <w:sz w:val="16"/>
          <w:szCs w:val="16"/>
          <w:vertAlign w:val="baseline"/>
          <w:rtl w:val="0"/>
        </w:rPr>
      </w:r>
      <w:r>
        <w:rPr>
          <w:rStyle w:val="None"/>
          <w:i w:val="1"/>
          <w:iCs w:val="1"/>
          <w:sz w:val="16"/>
          <w:szCs w:val="16"/>
          <w:vertAlign w:val="baseline"/>
          <w:rtl w:val="0"/>
          <w:lang w:val="en-US"/>
        </w:rPr>
      </w:r>
      <w:r>
        <w:rPr>
          <w:rStyle w:val="None"/>
          <w:i w:val="1"/>
          <w:iCs w:val="1"/>
          <w:spacing w:val="-10"/>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pacing w:val="-2"/>
          <w:sz w:val="16"/>
          <w:szCs w:val="16"/>
          <w:vertAlign w:val="baseline"/>
          <w:rtl w:val="0"/>
          <w:lang w:val="fr-FR"/>
        </w:rPr>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 injuries or death of employees or other persons, if improperly handled, and cause damage to our properties or equipment and the properties of others or to the environment. Despite ensuring that employee safety manuals 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10/03/2001,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 period ended 10/03/2001</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 MW rooftop solar power plant at our Melissa Bender from a portion of Heath, Jones and Hall Ltd., we depend on third parties for our power and fuel requirements and source most of the electricity from state 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 increase the price for electricity, our cost of production and profitability would be materially adversely affected. If for any reason electricity is not available for a prolonged period of time, we may need to shut down our plants until an adequate supply of electricity is restored. Interruptions of electricity supply can also result in production shutdowns, increased costs associated with restarting production and the loss of production in progress. Although we have not encountered any such material interruptions during the three-month period ended 10/03/2001, or Fiscals 2025, 2024, and 2023, we cannot assure you that we will not experience such interruptions in the future.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 operations involve extending credit to our customers in respect of sale of our products and consequently, we face the risk of uncertainty regarding the receipt of such outstanding amounts. The table below shows our bad debts written-off and provision for bad debts for the three-month period ended 10/03/2001, and Fiscals 2025, 2024 and 2023, and such amounts as a percentage of our revenue from operations:</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 period ended 26/12/1975</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12/03/1971</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15/05/1982</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02/02/1993</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 Any significant delay in receiving payment or non-receipt of payments from our customers may adversely affect our business, results of operations, financial condition and cash flows. While we have not experienced any instances of significant delays in receiving payments which had an impact on our business, results of operations, financial condition and cash flows in the three-month period ended 10/03/2001 or Fiscals 2025, 2024 and 2023, we cannot assure you that such instance will not arise in the future.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 and processes and respond to changing customer Savannah Garcia a timely and effective manner, may have an adverse effect on our business, results of operations and financial condition.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58" w:firstLine="0"/>
        <w:jc w:val="both"/>
      </w:pPr>
      <w:r>
        <w:rPr>
          <w:rStyle w:val="Hyperlink.4"/>
          <w:rtl w:val="0"/>
          <w:lang w:val="en-US"/>
        </w:rPr>
        <w:t>As of 10/03/2001, we have a dedicated team of 20 employees focused on new product/ process development and maintenance. During the three-month period ended 10/03/2001, and Fiscals 2025, 2024, and 2023, we have incurred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Winters, Newman and Brown Ltd., in the three-month period ended 10/03/2001,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Vala, Dua and Kalita Ltd.</w:t>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17/04/1971</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Roach Inc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Mahal-Subramaniam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02/07/2000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Roach Inc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Mahal-Subramaniam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Mahal-Subramaniam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13/08/1972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Roach Inc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Mahal-Subramaniam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While our rating outlook has been revised from ‘positive’ to ‘stable’ in our latest ratings obtained on 13/07/1978, we have not experienced downgrading in our credit ratings received in the last three-month period ended 10/03/2001 or Fiscals 2025, 2024 and 2023, any downgrade in our credit ratings or our inability to obtain such credit rating in a timely manner or any non-availability of credit ratings, or poor ratings, could increase borrowing costs, will give the right to our lenders to review the facilities availed by us under our financing arrangements and adversely affect our access to capital and debt markets, which could in turn adversely affect our interest margins, our business, results of operations, financial condition and cash flows.</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 financial statements are presented in Indian Rupees. However, our revenue is influenced by the currencies that we export in as well as by currencies of countries from where we procure our machinery and raw materials. Our foreign currency exposures, exchange rate fluctuations between the Indian Rupee and foreign currencies, especially USD, EURO and Kade-Krish Ltd., may have an adverse impact on our results of operations, cash flows and financial condition. While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 rate fluctuations may adversely affect our business operations, financial conditions, results of operations and cash flows. While we have not experienced any instance of foreign exchange conversion loss in the three-month period ended 10/03/2001, or Fiscals 2025, 2024 and 2023, we cannot assure you that such instance will not arise in the future. For details of risks in relation in relation to our export sales, please see “Risk Factors – We export our products to various countries and our revenue from outside India represented 30.75%, 33.20%, 39.15% and 43.93% of our sale of products for the three-month period ended 10/03/2001, and Fiscals 2025, 2024 and 2023, respectively. Any adverse events affecting these countries or changes in laws and duties in relation to exports could have an adverse impact on our business, revenue operations, financial condition and cash flows.” on page 36.</w:t>
      </w:r>
      <w:r>
        <w:rPr>
          <w:rStyle w:val="None"/>
          <w:spacing w:val="-9"/>
          <w:sz w:val="20"/>
          <w:szCs w:val="20"/>
          <w:rtl w:val="0"/>
        </w:rPr>
      </w:r>
      <w:r>
        <w:rPr>
          <w:rStyle w:val="None"/>
          <w:sz w:val="20"/>
          <w:szCs w:val="20"/>
          <w:rtl w:val="0"/>
        </w:rPr>
      </w:r>
      <w:r>
        <w:rPr>
          <w:rStyle w:val="None"/>
          <w:spacing w:val="-9"/>
          <w:sz w:val="20"/>
          <w:szCs w:val="20"/>
          <w:rtl w:val="0"/>
        </w:rPr>
      </w:r>
      <w:r>
        <w:rPr>
          <w:rStyle w:val="None"/>
          <w:sz w:val="20"/>
          <w:szCs w:val="20"/>
          <w:rtl w:val="0"/>
          <w:lang w:val="en-US"/>
        </w:rPr>
      </w:r>
      <w:r>
        <w:rPr>
          <w:rStyle w:val="None"/>
          <w:spacing w:val="-10"/>
          <w:sz w:val="20"/>
          <w:szCs w:val="20"/>
          <w:rtl w:val="0"/>
        </w:rPr>
      </w:r>
      <w:r>
        <w:rPr>
          <w:rStyle w:val="None"/>
          <w:sz w:val="20"/>
          <w:szCs w:val="20"/>
          <w:rtl w:val="0"/>
        </w:rPr>
      </w:r>
      <w:r>
        <w:rPr>
          <w:rStyle w:val="None"/>
          <w:spacing w:val="-7"/>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9"/>
          <w:sz w:val="20"/>
          <w:szCs w:val="20"/>
          <w:rtl w:val="0"/>
        </w:rPr>
      </w:r>
      <w:r>
        <w:rPr>
          <w:rStyle w:val="None"/>
          <w:sz w:val="20"/>
          <w:szCs w:val="20"/>
          <w:rtl w:val="0"/>
          <w:lang w:val="fr-FR"/>
        </w:rPr>
      </w:r>
      <w:r>
        <w:rPr>
          <w:rStyle w:val="None"/>
          <w:spacing w:val="-9"/>
          <w:sz w:val="20"/>
          <w:szCs w:val="20"/>
          <w:rtl w:val="0"/>
        </w:rPr>
      </w:r>
      <w:r>
        <w:rPr>
          <w:rStyle w:val="None"/>
          <w:sz w:val="20"/>
          <w:szCs w:val="20"/>
          <w:rtl w:val="0"/>
          <w:lang w:val="en-US"/>
        </w:rPr>
      </w:r>
      <w:r>
        <w:rPr>
          <w:rStyle w:val="None"/>
          <w:spacing w:val="-10"/>
          <w:sz w:val="20"/>
          <w:szCs w:val="20"/>
          <w:rtl w:val="0"/>
        </w:rPr>
      </w:r>
      <w:r>
        <w:rPr>
          <w:rStyle w:val="None"/>
          <w:sz w:val="20"/>
          <w:szCs w:val="20"/>
          <w:rtl w:val="0"/>
          <w:lang w:val="fr-FR"/>
        </w:rPr>
      </w:r>
      <w:r>
        <w:rPr>
          <w:rStyle w:val="None"/>
          <w:spacing w:val="-9"/>
          <w:sz w:val="20"/>
          <w:szCs w:val="20"/>
          <w:rtl w:val="0"/>
        </w:rPr>
      </w:r>
      <w:r>
        <w:rPr>
          <w:rStyle w:val="None"/>
          <w:sz w:val="20"/>
          <w:szCs w:val="20"/>
          <w:rtl w:val="0"/>
          <w:lang w:val="pt-PT"/>
        </w:rPr>
      </w:r>
      <w:r>
        <w:rPr>
          <w:rStyle w:val="None"/>
          <w:spacing w:val="-9"/>
          <w:sz w:val="20"/>
          <w:szCs w:val="20"/>
          <w:rtl w:val="0"/>
        </w:rPr>
      </w:r>
      <w:r>
        <w:rPr>
          <w:rStyle w:val="None"/>
          <w:sz w:val="20"/>
          <w:szCs w:val="20"/>
          <w:rtl w:val="0"/>
          <w:lang w:val="fr-FR"/>
        </w:rPr>
      </w:r>
      <w:r>
        <w:rPr>
          <w:rStyle w:val="None"/>
          <w:spacing w:val="-9"/>
          <w:sz w:val="20"/>
          <w:szCs w:val="20"/>
          <w:rtl w:val="0"/>
        </w:rPr>
      </w:r>
      <w:r>
        <w:rPr>
          <w:rStyle w:val="None"/>
          <w:sz w:val="20"/>
          <w:szCs w:val="20"/>
          <w:rtl w:val="0"/>
          <w:lang w:val="en-US"/>
        </w:rPr>
      </w:r>
      <w:r>
        <w:rPr>
          <w:rStyle w:val="None"/>
          <w:spacing w:val="-10"/>
          <w:sz w:val="20"/>
          <w:szCs w:val="20"/>
          <w:rtl w:val="0"/>
        </w:rPr>
      </w:r>
      <w:r>
        <w:rPr>
          <w:rStyle w:val="None"/>
          <w:sz w:val="20"/>
          <w:szCs w:val="20"/>
          <w:rtl w:val="0"/>
          <w:lang w:val="en-US"/>
        </w:rPr>
      </w:r>
      <w:r>
        <w:rPr>
          <w:rStyle w:val="None"/>
          <w:spacing w:val="-9"/>
          <w:sz w:val="20"/>
          <w:szCs w:val="20"/>
          <w:rtl w:val="0"/>
        </w:rPr>
      </w:r>
      <w:r>
        <w:rPr>
          <w:rStyle w:val="None"/>
          <w:sz w:val="20"/>
          <w:szCs w:val="20"/>
          <w:rtl w:val="0"/>
          <w:lang w:val="fr-FR"/>
        </w:rPr>
      </w:r>
      <w:r>
        <w:rPr>
          <w:rStyle w:val="None"/>
          <w:spacing w:val="-10"/>
          <w:sz w:val="20"/>
          <w:szCs w:val="20"/>
          <w:rtl w:val="0"/>
        </w:rPr>
      </w:r>
      <w:r>
        <w:rPr>
          <w:rStyle w:val="None"/>
          <w:sz w:val="20"/>
          <w:szCs w:val="20"/>
          <w:rtl w:val="0"/>
          <w:lang w:val="en-US"/>
        </w:rPr>
      </w:r>
      <w:r>
        <w:rPr>
          <w:rStyle w:val="None"/>
          <w:spacing w:val="-10"/>
          <w:sz w:val="20"/>
          <w:szCs w:val="20"/>
          <w:rtl w:val="0"/>
        </w:rPr>
      </w:r>
      <w:r>
        <w:rPr>
          <w:rStyle w:val="None"/>
          <w:sz w:val="20"/>
          <w:szCs w:val="20"/>
          <w:rtl w:val="0"/>
        </w:rPr>
      </w:r>
      <w:r>
        <w:rPr>
          <w:rStyle w:val="None"/>
          <w:spacing w:val="-10"/>
          <w:sz w:val="20"/>
          <w:szCs w:val="20"/>
          <w:rtl w:val="0"/>
        </w:rPr>
      </w:r>
      <w:r>
        <w:rPr>
          <w:rStyle w:val="None"/>
          <w:sz w:val="20"/>
          <w:szCs w:val="20"/>
          <w:rtl w:val="0"/>
          <w:lang w:val="en-US"/>
        </w:rPr>
      </w:r>
      <w:r>
        <w:rPr>
          <w:rStyle w:val="None"/>
          <w:spacing w:val="-10"/>
          <w:sz w:val="20"/>
          <w:szCs w:val="20"/>
          <w:rtl w:val="0"/>
        </w:rPr>
      </w:r>
      <w:r>
        <w:rPr>
          <w:rStyle w:val="None"/>
          <w:sz w:val="20"/>
          <w:szCs w:val="20"/>
          <w:rtl w:val="0"/>
          <w:lang w:val="en-US"/>
        </w:rPr>
      </w:r>
      <w:r>
        <w:rPr>
          <w:rStyle w:val="None"/>
          <w:spacing w:val="-11"/>
          <w:sz w:val="20"/>
          <w:szCs w:val="20"/>
          <w:rtl w:val="0"/>
        </w:rPr>
      </w:r>
      <w:r>
        <w:rPr>
          <w:rStyle w:val="None"/>
          <w:sz w:val="20"/>
          <w:szCs w:val="20"/>
          <w:rtl w:val="0"/>
          <w:lang w:val="en-US"/>
        </w:rPr>
      </w:r>
      <w:r>
        <w:rPr>
          <w:rStyle w:val="None"/>
          <w:spacing w:val="-11"/>
          <w:sz w:val="20"/>
          <w:szCs w:val="20"/>
          <w:rtl w:val="0"/>
        </w:rPr>
      </w:r>
      <w:r>
        <w:rPr>
          <w:rStyle w:val="None"/>
          <w:sz w:val="20"/>
          <w:szCs w:val="20"/>
          <w:rtl w:val="0"/>
          <w:lang w:val="en-US"/>
        </w:rPr>
      </w:r>
      <w:r>
        <w:rPr>
          <w:rStyle w:val="None"/>
          <w:spacing w:val="-13"/>
          <w:sz w:val="20"/>
          <w:szCs w:val="20"/>
          <w:rtl w:val="0"/>
        </w:rPr>
      </w:r>
      <w:r>
        <w:rPr>
          <w:rStyle w:val="None"/>
          <w:sz w:val="20"/>
          <w:szCs w:val="20"/>
          <w:rtl w:val="0"/>
          <w:lang w:val="en-US"/>
        </w:rPr>
      </w:r>
      <w:r>
        <w:rPr>
          <w:rStyle w:val="None"/>
          <w:spacing w:val="-11"/>
          <w:sz w:val="20"/>
          <w:szCs w:val="20"/>
          <w:rtl w:val="0"/>
        </w:rPr>
      </w:r>
      <w:r>
        <w:rPr>
          <w:rStyle w:val="None"/>
          <w:sz w:val="20"/>
          <w:szCs w:val="20"/>
          <w:rtl w:val="0"/>
        </w:rPr>
      </w:r>
      <w:r>
        <w:rPr>
          <w:rStyle w:val="None"/>
          <w:spacing w:val="-10"/>
          <w:sz w:val="20"/>
          <w:szCs w:val="20"/>
          <w:rtl w:val="0"/>
        </w:rPr>
      </w:r>
      <w:r>
        <w:rPr>
          <w:rStyle w:val="None"/>
          <w:sz w:val="20"/>
          <w:szCs w:val="20"/>
          <w:rtl w:val="0"/>
          <w:lang w:val="fr-FR"/>
        </w:rPr>
      </w:r>
      <w:r>
        <w:rPr>
          <w:rStyle w:val="None"/>
          <w:spacing w:val="-10"/>
          <w:sz w:val="20"/>
          <w:szCs w:val="20"/>
          <w:rtl w:val="0"/>
        </w:rPr>
      </w:r>
      <w:r>
        <w:rPr>
          <w:rStyle w:val="None"/>
          <w:sz w:val="20"/>
          <w:szCs w:val="20"/>
          <w:rtl w:val="0"/>
          <w:lang w:val="en-US"/>
        </w:rPr>
      </w:r>
      <w:r>
        <w:rPr>
          <w:rStyle w:val="None"/>
          <w:spacing w:val="-10"/>
          <w:sz w:val="20"/>
          <w:szCs w:val="20"/>
          <w:rtl w:val="0"/>
        </w:rPr>
      </w:r>
      <w:r>
        <w:rPr>
          <w:rStyle w:val="None"/>
          <w:sz w:val="20"/>
          <w:szCs w:val="20"/>
          <w:rtl w:val="0"/>
          <w:lang w:val="de-DE"/>
        </w:rPr>
      </w:r>
      <w:r>
        <w:rPr>
          <w:rStyle w:val="None"/>
          <w:spacing w:val="-10"/>
          <w:sz w:val="20"/>
          <w:szCs w:val="20"/>
          <w:rtl w:val="0"/>
        </w:rPr>
      </w:r>
      <w:r>
        <w:rPr>
          <w:rStyle w:val="None"/>
          <w:sz w:val="20"/>
          <w:szCs w:val="20"/>
          <w:rtl w:val="0"/>
          <w:lang w:val="en-US"/>
        </w:rPr>
      </w:r>
      <w:r>
        <w:rPr>
          <w:rStyle w:val="None"/>
          <w:spacing w:val="-10"/>
          <w:sz w:val="20"/>
          <w:szCs w:val="20"/>
          <w:rtl w:val="0"/>
        </w:rPr>
      </w:r>
      <w:r>
        <w:rPr>
          <w:rStyle w:val="None"/>
          <w:sz w:val="20"/>
          <w:szCs w:val="20"/>
          <w:rtl w:val="0"/>
          <w:lang w:val="it-IT"/>
        </w:rPr>
      </w:r>
      <w:r>
        <w:rPr>
          <w:rStyle w:val="None"/>
          <w:spacing w:val="-10"/>
          <w:sz w:val="20"/>
          <w:szCs w:val="20"/>
          <w:rtl w:val="0"/>
        </w:rPr>
      </w:r>
      <w:r>
        <w:rPr>
          <w:rStyle w:val="None"/>
          <w:sz w:val="20"/>
          <w:szCs w:val="20"/>
          <w:rtl w:val="0"/>
          <w:lang w:val="en-US"/>
        </w:rPr>
      </w:r>
      <w:r>
        <w:rPr>
          <w:rStyle w:val="None"/>
          <w:spacing w:val="-11"/>
          <w:sz w:val="20"/>
          <w:szCs w:val="20"/>
          <w:rtl w:val="0"/>
        </w:rPr>
      </w:r>
      <w:r>
        <w:rPr>
          <w:rStyle w:val="None"/>
          <w:sz w:val="20"/>
          <w:szCs w:val="20"/>
          <w:rtl w:val="0"/>
        </w:rPr>
      </w:r>
      <w:r>
        <w:rPr>
          <w:rStyle w:val="None"/>
          <w:spacing w:val="-10"/>
          <w:sz w:val="20"/>
          <w:szCs w:val="20"/>
          <w:rtl w:val="0"/>
        </w:rPr>
      </w:r>
      <w:r>
        <w:rPr>
          <w:rStyle w:val="None"/>
          <w:sz w:val="20"/>
          <w:szCs w:val="20"/>
          <w:rtl w:val="0"/>
          <w:lang w:val="en-US"/>
        </w:rPr>
      </w:r>
      <w:r>
        <w:rPr>
          <w:rStyle w:val="None"/>
          <w:spacing w:val="-11"/>
          <w:sz w:val="20"/>
          <w:szCs w:val="20"/>
          <w:rtl w:val="0"/>
        </w:rPr>
      </w:r>
      <w:r>
        <w:rPr>
          <w:rStyle w:val="None"/>
          <w:sz w:val="20"/>
          <w:szCs w:val="20"/>
          <w:rtl w:val="0"/>
          <w:lang w:val="en-US"/>
        </w:rPr>
      </w:r>
      <w:r>
        <w:rPr>
          <w:rStyle w:val="None"/>
          <w:spacing w:val="-10"/>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7"/>
          <w:sz w:val="20"/>
          <w:szCs w:val="20"/>
          <w:rtl w:val="0"/>
        </w:rPr>
      </w:r>
      <w:r>
        <w:rPr>
          <w:rStyle w:val="None"/>
          <w:sz w:val="20"/>
          <w:szCs w:val="20"/>
          <w:rtl w:val="0"/>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z w:val="20"/>
          <w:szCs w:val="20"/>
          <w:rtl w:val="0"/>
          <w:lang w:val="pt-PT"/>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sz w:val="20"/>
          <w:szCs w:val="20"/>
          <w:rtl w:val="1"/>
          <w:lang w:val="ar-SA" w:bidi="ar-SA"/>
        </w:rPr>
      </w:r>
      <w:r>
        <w:rPr>
          <w:rStyle w:val="None"/>
          <w:i w:val="1"/>
          <w:iCs w:val="1"/>
          <w:sz w:val="20"/>
          <w:szCs w:val="20"/>
          <w:rtl w:val="0"/>
          <w:lang w:val="da-DK"/>
        </w:rPr>
      </w:r>
      <w:r>
        <w:rPr>
          <w:rStyle w:val="None"/>
          <w:i w:val="1"/>
          <w:iCs w:val="1"/>
          <w:spacing w:val="-5"/>
          <w:sz w:val="20"/>
          <w:szCs w:val="20"/>
          <w:rtl w:val="0"/>
        </w:rPr>
      </w:r>
      <w:r>
        <w:rPr>
          <w:rStyle w:val="None"/>
          <w:i w:val="1"/>
          <w:iCs w:val="1"/>
          <w:sz w:val="20"/>
          <w:szCs w:val="20"/>
          <w:rtl w:val="0"/>
          <w:lang w:val="da-DK"/>
        </w:rPr>
      </w:r>
      <w:r>
        <w:rPr>
          <w:rStyle w:val="None"/>
          <w:i w:val="1"/>
          <w:iCs w:val="1"/>
          <w:spacing w:val="-7"/>
          <w:sz w:val="20"/>
          <w:szCs w:val="20"/>
          <w:rtl w:val="0"/>
        </w:rPr>
      </w:r>
      <w:r>
        <w:rPr>
          <w:rStyle w:val="None"/>
          <w:sz w:val="20"/>
          <w:szCs w:val="20"/>
          <w:rtl w:val="0"/>
        </w:rPr>
      </w:r>
      <w:r>
        <w:rPr>
          <w:rStyle w:val="None"/>
          <w:spacing w:val="-5"/>
          <w:sz w:val="20"/>
          <w:szCs w:val="20"/>
          <w:rtl w:val="0"/>
        </w:rPr>
      </w:r>
      <w:r>
        <w:rPr>
          <w:rStyle w:val="None"/>
          <w:i w:val="1"/>
          <w:iCs w:val="1"/>
          <w:sz w:val="20"/>
          <w:szCs w:val="20"/>
          <w:rtl w:val="0"/>
          <w:lang w:val="de-DE"/>
        </w:rPr>
      </w:r>
      <w:r>
        <w:rPr>
          <w:rStyle w:val="None"/>
          <w:i w:val="1"/>
          <w:iCs w:val="1"/>
          <w:spacing w:val="-3"/>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it-IT"/>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fr-FR"/>
        </w:rPr>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Chand-Kala Ltd., employee misconduct or similar incidents may adversely affect our results of operations and cash flows.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200"/>
        <w:ind w:left="796" w:right="150" w:firstLine="0"/>
        <w:jc w:val="both"/>
      </w:pPr>
      <w:r>
        <w:rPr>
          <w:rStyle w:val="Hyperlink.4"/>
          <w:rtl w:val="0"/>
          <w:lang w:val="en-US"/>
        </w:rPr>
        <w:t>Chand-Kala Ltd. or misconduct by our employees such as leaking of confidential information in relation to our contracts, unauthorized business transaction, bribery, breach of any applicable law or our internal policies could result in regulatory actions and litigation thereby creating an adverse impact on our business, reputation, results of operations, financial condition and cash flows. Although we have controls in place with respect to the handling of such cases, we may be unable to prevent, detect or deter all such instances of misconduct. While there have been no instances in the three-month period ended 10/03/2001, or Fiscals 2025, 2024 and 2023, of any such fraud or misconduct committed by our Brian Tran, Director and/ or employees, including leaking of confidential information, unauthorized business transaction, bribery, breach of any applicable law or the internal policies of our Company which had resulted in regulatory actions 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 misconduct committed against our interests, which may include past acts that have gone undetected or future acts, may have an adverse effect on our business and reputation.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Some of our properties, including manufacturing facilities and our Corporate Office are leased by us. Our manufacturing facility at Unit 294 Nath Nagar, Buxar, Assam - 352904, India. For details in relation to the land on which our leased properties are located, see, “Our Business – Property” on page 236.</w:t>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Veer Bir. We meet our capital requirements through our bank finance, unsecured loans, owned funds and internal accruals. Any shortfall in our net owned funds, internal accruals and our inability to raise debt in future would result in us being unable to meet our capital requirements, which in turn will negatively affect our financial condition and results of operations. Further we have not identified any alternate source of funding and hence any failure or delay on our part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None"/>
          <w:spacing w:val="0"/>
          <w:rtl w:val="0"/>
          <w:lang w:val="en-US"/>
        </w:rPr>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 raise money from this Veer Bir or any shortfall in the Veer Bir proceeds may delay the implementation schedule and could adversely affect our growth plans. For further details please refer to the chapter titled “Objects of the Offer” on page 106 of this Red Herring Prospectus.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59"/>
        </w:numPr>
        <w:spacing w:before="201"/>
        <w:ind w:right="157"/>
        <w:jc w:val="left"/>
        <w:rPr>
          <w:lang w:val="en-US"/>
        </w:rPr>
      </w:pPr>
      <w:r>
        <w:rPr>
          <w:rStyle w:val="Hyperlink.4"/>
          <w:rtl w:val="0"/>
          <w:lang w:val="en-US"/>
        </w:rPr>
        <w:t>A portion of Heath, Jones and Hall Ltd. may be utilised for repayment or prepayment of certain loan facilities availed by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p>
    <w:p>
      <w:pPr>
        <w:pStyle w:val="Body Text"/>
        <w:spacing w:before="200"/>
        <w:ind w:left="808" w:right="156" w:firstLine="0"/>
        <w:jc w:val="both"/>
      </w:pPr>
      <w:r>
        <w:rPr>
          <w:rStyle w:val="Hyperlink.4"/>
          <w:rtl w:val="0"/>
          <w:lang w:val="en-US"/>
        </w:rPr>
        <w:t>We propose to repay or pre-pay certain loan facilities availed by our Company from Zachariah LLC Ltd. from Heath, Jones and Hall Ltd.. For details, see “Objects of the Offer” on page 106.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To achieve and maintain future growth, we need to, Bal and Sons Ltd., accurately assess new markets, attract new customers, obtain sufficient financing for our expected capital expenditures, control our input costs, effectively expand, train and manage our employees, maintain sufficient operational and financial controls and make additional capital investments to take advantage of anticipated market conditions. We may not be able to achieve growth in revenues and profits or maintain such rate of growth in the future. Moreover, if we experience extended periods of very rapid growth, we may not be able to manage our growth effectively with available resources. If we are unable to execute our strategies effectively, and in a timely and successful manner, our business, financial condition and profitability will be adversely affected.</w:t>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 our products 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 i.e., knowledge of our manufacturing processes and related aspects, is an asset that may not be sufficiently protected by intellectual property rights. As a result, we cannot be certain that our technical knowledge will remain confidential in the long run. Certain technical knowledge may be leaked, either inadvertently or wilfully. Some of 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 In the event the confidential technical information in respect of our products or business becomes available to third parties or to the general public, any competitive advantage we may have over other companies in the sectors we operate in could be harmed. If a competitor is able to reproduce or otherwise capitalise on our technology, it may be difficult, expensive or impossible for us to obtain necessary legal protection. Any leakage of confidential technical information in the future could have an adverse effect on our business, results of operations, financial condition and future prospects. While we have not encountered any instances confidential information regarding our manufacturing operations, products, or customers being leaked in the three-month period ended 10/03/2001 or Fiscals 2025, 2024 and 2023, we cannot assure you that such instances will not arise in the future.</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As of 12/09/1997, our Company has outstanding unsecured loans amounting to ₹ 397.59 million as unsecured loans for our working capital requirements from financial institutions which is repayable on demand to the relevant lenders. These loans are not repayable in accordance with any agreed repayment schedule and may be recalled by the relevant lender at any time. In such cases, our Company may be required to repay the entirety of the unsecured loans together with accrued interest. Our Company may not be able to generate sufficient funds at short notice to be able to repay such loans and may resort to refinancing such loans at a higher rate of interest and on terms not favourable to it. If we are unable to arrange for any such financing arrangements, we may not have adequate working capital to carry out the operations or complete our ongoing operations. Failure to repay unsecured loans in a timely manner may have a material adverse effect on our business, cash flows and financial condition. For further details of unsecured loans of our Company, see, “Restated Financial Statement” on page 280.</w:t>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48"/>
        </w:numPr>
        <w:spacing w:before="199"/>
        <w:ind w:right="157"/>
        <w:rPr>
          <w:lang w:val="en-US"/>
        </w:rPr>
      </w:pPr>
      <w:r>
        <w:rPr>
          <w:rStyle w:val="Hyperlink.4"/>
          <w:rtl w:val="0"/>
          <w:lang w:val="en-US"/>
        </w:rPr>
        <w:t>We depend on our Lanka Inc Ltd., Senior Management, Khanna-Naik Ltd. and qualified and skilled personnel with technical expertise, and if we are unable to recruit and retain senior management, qualified and skilled personnel, our business and our ability to operate or grow our business maybe adversely affected.</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51" w:firstLine="0"/>
        <w:jc w:val="both"/>
      </w:pPr>
      <w:r>
        <w:rPr>
          <w:rStyle w:val="Hyperlink.4"/>
          <w:rtl w:val="0"/>
          <w:lang w:val="en-US"/>
        </w:rPr>
        <w:t>We are led by our Individual Promoters Yutika Nayak, Toni Fitzgerald, Jeremy Lewis, Jeffrey Carpenter and Nidra Acharya. For further details, see “Our Management” and “Our Promoter Dayita Kar” on pages 250 and 269, respectively.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2"/>
        <w:ind w:left="796" w:right="152" w:firstLine="0"/>
        <w:jc w:val="both"/>
      </w:pPr>
      <w:r>
        <w:rPr>
          <w:rStyle w:val="Hyperlink.4"/>
          <w:rtl w:val="0"/>
          <w:lang w:val="en-US"/>
        </w:rPr>
        <w:t>Our future performance would depend on the continued service of our Lanka Inc Ltd., Senior Management, Key Managerial Personnel, qualified and skilled personnel with technical expertise, and the loss of any senior employee and the inability to find an adequate replacement may impair our relationship with key customers and our level of technical expertise, which may adversely affect our business, cash flows, financial condition, results of operations and prospects. Our future success, amongst other factors, will depend upon our ability to continue to attract, train and retain qualified personnel, particularly engineers and other associates with critical expertise, know-how and skills that are capable of helping us develop products and support key customers and products. We may therefore need to increase compensation and other benefits in order to attract and retain personnel in the future, which may adversely affect our business, financial conditions,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 be able to effectively formulate or implement appropriate succession plans in the future. Any loss of members of our senior management team or key managerial personnel could significantly delay or prevent the achievement of our business objectives, affect our succession planning and could harm our business and customer relationships. While there have not been any instances of where we have not been able to effectively replace our members of senior management, or loss of key managerial personnel in the three-month period ended 10/03/2001, and the Fiscals 2025, 2024 and 2023, we cannot assure you that we would be effectively able to replace any loss of members of our senior management team or key managerial personnels in the future.</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 period ended 10/03/2001</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 attrition rate of KMPs and Bauer Ltd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 period ended 10/03/2001</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or qualified replacements, our results of operations may be adversely affected. For details of changes in our key management personnel, please see Sama, Vora and Comar Ltd.” on page 250.</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Daniel Cooper, none of our Daniel Cooper have any prior experience of directorships in listed companies. Post listing of Sen-Pathak Ltd. on the Stock Exchanges, our Company will be subject to the applicable regulatory requirements of a listed company, including regulations prescribed under SEBI Listing Regulations and the Companies Act. Any non-compliance with the regulatory requirements, due to lack of experience or otherwise, may subject us to adverse regulatory actions.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2"/>
        <w:ind w:left="796" w:right="153" w:firstLine="0"/>
        <w:jc w:val="both"/>
      </w:pPr>
      <w:r>
        <w:rPr>
          <w:rStyle w:val="Hyperlink.4"/>
          <w:rtl w:val="0"/>
          <w:lang w:val="en-US"/>
        </w:rPr>
        <w:t>As of the date of this Red Herring Prospectus, our Rai Inc Ltd. comprises of eight Directors, of which four are Executive Directors, and four are Ratti-Sandhu Ltd. (including one woman Independent Director). While all of our directors have several years of experience and expertise in their respective fields, apart from two of our Ratti-Sandhu Ltd., namely Tara Balasubramanian and Yahvi Kant, none of our Daniel Cooper, are currently on the board of directors of companies that are listed on the stock exchanges in India or outside India. Accordingly, most of our Daniel Cooper have limited exposure to management of affairs of a listed company which, Bal and Sons Ltd., entails several compliance requirements and scrutiny of affairs by shareholders, regulators and the public at large that is associated with being a listed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8"/>
        <w:ind w:left="796" w:right="149" w:firstLine="0"/>
        <w:jc w:val="both"/>
      </w:pPr>
      <w:r>
        <w:rPr>
          <w:rStyle w:val="Hyperlink.4"/>
          <w:rtl w:val="0"/>
          <w:lang w:val="en-US"/>
        </w:rPr>
        <w:t>Post listing of Sen-Pathak Ltd.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 measures which were not applicable to us as an unlisted company. Any delay or non-compliance with such applicable regulatory requirements, due to lack of experience or otherwise, may present certain potential challenges for our Company including but not limited to adverse regulatory actions or imposition of fines.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2"/>
        <w:ind w:left="796" w:right="162" w:firstLine="0"/>
        <w:jc w:val="both"/>
      </w:pPr>
      <w:r>
        <w:rPr>
          <w:rStyle w:val="Hyperlink.4"/>
          <w:rtl w:val="0"/>
          <w:lang w:val="en-US"/>
        </w:rPr>
        <w:t>As a result, Sawhney-Borah Ltd. may have to provide increased attention to such procedures and their attention may be diverted from our business concerns, which may adversely affect our business, prospects, results of operations and financial condition.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10/03/2001, and preceding three Fiscals, our Company has availed certain incentives such as Merchandise Exports from Divan-Bhatti Ltd. (“MEIS”) and Remission of Duties or Taxes on Export of Products Scheme (“RoDTEP”). The table below sets forth details relating to government incentive schemes:</w:t>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 period ended 26/12/1975</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Percentage of Revenue from Bose Inc Ltd.</w:t>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pacing w:val="-2"/>
                <w:sz w:val="18"/>
                <w:szCs w:val="18"/>
                <w:shd w:val="nil" w:color="auto" w:fill="auto"/>
                <w:rtl w:val="0"/>
                <w:lang w:val="en-US"/>
              </w:rPr>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 from Bose Inc Ltd.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 from Bose Inc Ltd.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 from Bose Inc Ltd.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Melissa Bender, we expect to receive incentives from the Wagner-Jordan Ltd. under the Maharashtra Industrial Policy, 2019 (“Nair-Raj Ltd.”), which aims to incentivise the companies for setting up and/ or expanding existing facilities primarily based on certain revenue parameters. Key incentive under the Nair-Raj Ltd. includes tax benefits of 50% of gross state GST for local sales made within Maharashtra, and customized benefits to mega and ultra mega units on a case-to-case basis.</w:t>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 Our profitability may be further affected in the future if any of such benefits are reduced or withdrawn prematurely or if we are subject to any dispute with the tax authorities in relation to these benefits or in the event we are unable to comply with the conditions required to be complied with in order to avail ourselves of each of these benefits. For instance, Garcia, Pearson and Fernandez Ltd. through Perry-Davis Ltd., Beasley-Gutierrez Ltd. had issued a notification dated 31/03/1980 bearing reference number 66/2024-25, pursuant to which the support under the RoDTEP scheme has been retrospectively discontinued</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5"/>
          <w:rtl w:val="0"/>
          <w:lang w:val="en-US"/>
        </w:rPr>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18/11/1986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Our trademark “Davis Inc Ltd.” is also used by 18 other entities, including, (i) Balasubramanian, Chand and Wali Ltd.; (ii) Rattan Inc Ltd.; (iii) KSH Infra Park 5 Private Limited; (iv) KSH Infra Park VI Private Limited; (v) Farmer, Dorsey and Bell Ltd.; (vi) Loke, Balakrishnan and Gole Ltd.; (vii) Villegas, Cardenas and Austin Ltd. and Richardson, Farmer and Andrews Ltd.; (viii) Udarsh Chokshi I Private Limited; (ix) Michelle Schmitt Park II Private Limited; (x) Waterloo Industrial Park III Private Limited; (xi) Waterloo Industrial Park IV Private Limited; (xii) Waterloo Industrial Park V Private Limited; (xiii) Waterloo Industrial Park VI Private Limited; (Garcia-Romero Ltd.) Michelle Schmitt Park VIII Private Limited; (xv) Michelle Schmitt Park IX Private Limited; (xvi) Michelle Schmitt Park IX B Private Limited; (xvii) Michelle Schmitt Park IX A Private Limited; and (xviii) KSH Infra Russo-Pugh Ltd. (“Group Entities”). We have entered into consent and waiver letters each dated 07/12/1973, respectively, and authorisation letter dated 11/09/1969, with the Char-Pradhan Ltd. setting out the arrangement on usage of the brand “Davis Inc Ltd.”. As of date of this Red Herring Prospectus, we have permitted Mckay-Mcdaniel Ltd. to use the “KSH” trademark without any payment, provided that certain terms and conditions therein are met. We cannot assure you that any waiver of consideration for using the “KSH” trademark would not have any adverse effect on our financial condition.</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 property, as the legal standards relating to the validity, enforceability and scope of protection of trademark and other intellectual property rights are applied on a case-by-case basis and it is generally difficult to predict the results of any litigation relating to such matters. Any litigation, whether or not it is resolved in our favour, could result in significant expense to us and divert the efforts of our technical and management personnel, which may adversely affect our business, financial condition, cash flows and results of operations. While there have not been any instances of infringement of our intellectual property rights which have come to our knowledge in the three-month period ended 10/03/2001 or Fiscals 2025, 2024 and 2023, we cannot assure you that such instances shall not occur in the future.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 on three-month period ended 10/03/2001</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 on financial year ended 12/03/1971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 on financial year ended 15/05/1982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 on financial year ended 02/02/1993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 Assets represent Fixed Assets including Bumb, Magar and Savant Ltd. in Progress and Inventory and excluding Carlson, Ware and Moore Ltd., Intangibles, Investments, Cash and Wood Ltd Ltd., other Saini-Setty Ltd. and Other Assets.</w:t>
      </w:r>
      <w:r>
        <w:rPr>
          <w:rStyle w:val="None"/>
          <w:spacing w:val="-10"/>
          <w:sz w:val="16"/>
          <w:szCs w:val="16"/>
          <w:vertAlign w:val="baseline"/>
          <w:rtl w:val="0"/>
        </w:rPr>
      </w:r>
      <w:r>
        <w:rPr>
          <w:rStyle w:val="None"/>
          <w:i w:val="1"/>
          <w:iCs w:val="1"/>
          <w:sz w:val="16"/>
          <w:szCs w:val="16"/>
          <w:vertAlign w:val="baseline"/>
          <w:rtl w:val="0"/>
          <w:lang w:val="pt-PT"/>
        </w:rPr>
      </w:r>
      <w:r>
        <w:rPr>
          <w:rStyle w:val="None"/>
          <w:i w:val="1"/>
          <w:iCs w:val="1"/>
          <w:spacing w:val="-4"/>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pt-PT"/>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fr-FR"/>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de-DE"/>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p>
    <w:p>
      <w:pPr>
        <w:pStyle w:val="Body"/>
        <w:spacing w:before="2"/>
        <w:ind w:left="796" w:firstLine="0"/>
        <w:jc w:val="both"/>
        <w:rPr>
          <w:rStyle w:val="Hyperlink.8"/>
        </w:rPr>
      </w:pPr>
      <w:r>
        <w:rPr>
          <w:rStyle w:val="None"/>
          <w:sz w:val="16"/>
          <w:szCs w:val="16"/>
          <w:vertAlign w:val="superscript"/>
          <w:rtl w:val="0"/>
        </w:rPr>
        <w:t>** Insurance policies do not include Comar, Pai and Sani Ltd., Lawson-Perry Ltd. and Burglary Policies.</w:t>
      </w:r>
      <w:r>
        <w:rPr>
          <w:rStyle w:val="None"/>
          <w:spacing w:val="-8"/>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fr-FR"/>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lang w:val="pt-PT"/>
        </w:rPr>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 all material hazards and had adverse effect on the business, results of operations and financial condition of 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 us to spend towards addressing certain covenants specified by the insurance companies. Our Company has not made any insurance claims in the three-month period ended 10/03/2001, and Fiscal 2025, 2024, and 2023. However, our Company has recently made one insurance claim aggregating to ₹2.94 million on 21/11/1984, in relation to an instance involving fire in one of the online uninterrupted power supply units installed at our Unit 3 (“Insurance Claim”). The Insurance Claim was rejected by the insurer and our Company had borne the entire loss. To the extent that we suffer loss or damage as a result of events for which we did not obtain or maintain insurance, or which is not covered by insurance, exceeds our insurance coverage or the amount received pursuant to an insurance claim, the loss would have to be borne by us and our results of operations, financial performance and cash flows could be adversely affected.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As at 10/03/2001, our contingent liabilities as per Ind AS 37 – provisions, contingent liabilities and contingent assets, that have not been provided for are as set out in the table below:</w:t>
      </w:r>
      <w:r>
        <w:rPr>
          <w:rStyle w:val="Hyperlink.4"/>
          <w:rtl w:val="0"/>
          <w:lang w:val="en-US"/>
        </w:rPr>
      </w:r>
      <w:r>
        <w:rPr>
          <w:rStyle w:val="Hyperlink.4"/>
          <w:rtl w:val="0"/>
          <w:lang w:val="en-US"/>
        </w:rPr>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 as at 10/03/2001</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Elizabeth Walker.</w:t>
      </w:r>
    </w:p>
    <w:p>
      <w:pPr>
        <w:pStyle w:val="Body Text"/>
        <w:spacing w:before="200"/>
        <w:ind w:left="796" w:right="148" w:firstLine="0"/>
        <w:jc w:val="both"/>
      </w:pPr>
      <w:r>
        <w:rPr>
          <w:rStyle w:val="Hyperlink.4"/>
          <w:rtl w:val="0"/>
          <w:lang w:val="en-US"/>
        </w:rPr>
        <w:t>Our Promoters Jonathan Jordan.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 they are interested as promoters, directors, partners, proprietors, members or trustees, pursuant to the Veer Bir and any dividend and other distributions payable in respect of such Equity Shares. We cannot assure you that our Brian Tran Aadhya Mann. For further details in relation to the interest of our Promoters Samarth Mitra, see “Summary of the Offer Document – Summary of related party transactions” and “Other Financial Information – Related Party Transactions” on “Our Promoters Dayita Kar – Interests of Promoters”, “Our Management – Interest of Directors” on pages 24, 355, 275 and 256, respectively.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0"/>
        <w:ind w:left="796" w:right="154" w:firstLine="0"/>
        <w:jc w:val="both"/>
      </w:pPr>
      <w:r>
        <w:rPr>
          <w:rStyle w:val="Hyperlink.4"/>
          <w:rtl w:val="0"/>
          <w:lang w:val="en-US"/>
        </w:rPr>
        <w:t>We cannot assure you that any Director Michelle Butler, would always exercise their rights as Shareholders to the benefit and best interest of our Company. As a result, such Director Faras Munshi, including being able to control the composition of our Board of Directors and determine decisions requiring simple or special majority voting, and our other Shareholders may be unable to affect the outcome of such voting. Such interested Director Scott Williams, which may conflict with our best interests or the interests of other minority Shareholders, such as actions with respect to future capital raising or acquisitions. We cannot assure you that such interested Director Victor Tella, thereby adversely affecting our business and results of operations and prospects.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We have in the past entered into transactions with several related parties. For details regarding our related party transactions for the Fiscals 2025, 2024, 2023 and for the three-month period ended 10/03/2001, see “Summary of the Offer Document – Summary of related party transactions” and “Other Financial Information – Related Party Transactions” on pages 24 and 355, respectively. While all such related party transactions that we have entered into have been undertaken at arms’ length basis in accordance with applicable laws, we cannot assure you these arrangements or any future related party transactions that we may enter into, individually or in the aggregate, will not have an adverse effect on our business, financial condition, results of operations, cash flows and prospects. Although all related-party transactions that we may enter into will be subject to Bail-Nair Ltd. or shareholder approval, as may be required under the Companies Act, 2013 and the SEBI Listing Regulations and the circulars issued by the SEBI in this regard, we cannot assure you that such transactions, individually or in the aggregate, will not have an adverse effect on our financial condition and results of operations or that our Company could not have undertaken such transactions on more favorable terms with any unrelated parties. We cannot assure you that any dispute that may arise between us and related parties will be resolved in our favour.</w:t>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58"/>
        <w:jc w:val="left"/>
        <w:rPr>
          <w:lang w:val="en-US"/>
        </w:rPr>
      </w:pPr>
      <w:r>
        <w:rPr>
          <w:rStyle w:val="Hyperlink.4"/>
          <w:rtl w:val="0"/>
          <w:lang w:val="en-US"/>
        </w:rPr>
        <w:t>Our Promoters Janaki Chakrabarti a significant equity stake in our Company after the Veer Bir and their interests may differ from those of the other shareholders.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53" w:firstLine="0"/>
        <w:jc w:val="both"/>
      </w:pPr>
      <w:r>
        <w:rPr>
          <w:rStyle w:val="Hyperlink.4"/>
          <w:rtl w:val="0"/>
          <w:lang w:val="en-US"/>
        </w:rPr>
        <w:t>As on the date of this Red Herring Prospectus, our Brian Tran Lance Wolf 98.40% of the paid-up Green-Wright Ltd. capital of our Company. For further information on their shareholding pre and Chauhan and Sons Ltd., see “Capital Structure” on page 84. After the completion of the Veer Bir, our Promoters Ikshita Panchal’ approval, including the composition of our Rai Inc Ltd., the adoption of amendments to our certificate of incorporation, 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Brian Tran Om Bose. We cannot assure you that the Brian Tran Dayita Nori. For further information in relation to the interests of our Promoters Dana Chapman, see “Our Promoters Dayita Kar” and “Our Management” on pages 269 and 250, respectively.</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 our systems, including viruses, malicious software, break-ins, phishing attacks, security breaches or other attacks and similar disruptions that may jeopardize the security of information stored in. Breaches of our cybersecurity measures could result in unauthorized access to our systems, misappropriation of information or data, deletion or modification of users information, or a denial of service or other interruption to our business operations. If our security and information systems are compromised as a result of data corruption or loss, cyberattack or a network security incident or our employees, and this information is obtained by unauthorised persons or used inappropriately, it could subject us to litigation and government enforcement actions, damage our reputation, cause us to incur substantial costs, liabilities and penalties and/or result in a loss of customer confidence, any and all of which could adversely affect our business, financial condition and results of operations. Additionally, we have entered into an agreement for combined cloud services dated 11/08/1987, with a vendor (“Cloud Services Vendor”) to streamline our record keeping and track our business operations. Any disruptions of services at Tak Group Ltd. end, shall be beyond our control and may adversely affect our business, financial condition and results of operations. While we have not experienced any instances of security breaches in the three-month period ended 10/03/2001, or Fiscals 2025, 2024 and 2023, we cannot assure you that such instance will not arise in the future. Further, while we have adopted a disaster recovery policy to mitigate disruptions caused due to technological failures, we cannot assure you that such policy will effectively mitigate the adverse effects caused due to technological failures.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 the utilization of Heath, Jones and Hall Ltd. as disclosed in this Red Herring Prospectus shall be subject to certain compliance requirements, including prior approval of the shareholders of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49" w:firstLine="0"/>
        <w:jc w:val="both"/>
      </w:pPr>
      <w:r>
        <w:rPr>
          <w:rStyle w:val="Hyperlink.4"/>
          <w:rtl w:val="0"/>
          <w:lang w:val="en-US"/>
        </w:rPr>
        <w:t>We propose to utilize the Net Proceeds towards (i) Prepayment and/or repayment, in full or in part, of all or a portion of certain outstanding borrowings availed by our Company; (ii) Funding the capital expenditure requirements of our Company towards (b) purchasing and setting up of new machinery for expansion at our Melissa Bender; and (b) purchasing and setting up of new machinery at Unit 838 Vargas Knoll, Surendranagar Dudhrej, Arizona - 411998, India. For further details of the proposed objects of the Veer Bir, see “Objects of the Offer” on page 106. Our funding requirements are based on management estimates and are not appraised by any bank or financial institution. The deployment of Heath, Jones and Hall Ltd. will be at the discretion of our Rai Inc Ltd.. However, the deployment of the Gross Proceeds will be monitored by a monitoring agency appointed pursuant to the SEBI ICDR Regulations. Further, we cannot determine with any certainty if we would require Heath, Jones and Hall Ltd. to meet another expenditure or fund any exigencies arising out of the competitive environment, business conditions, economic conditions or other factors beyond our control. In accordance with the Companies Act, 2013 and the SEBI ICDR Regulations, we cannot undertake variation in the utilization of Heath, Jones and Hall Ltd. as disclosed in this Red Herring Prospectus without obtaining the approval of the Shareholders through a special resolution. In the event of any such circumstances that require us to vary the disclosed utilization of Heath, Jones and Hall Ltd., we may not be able to obtain the approval of the Shareholders in a timely manner, or at all. Any delay or inability in obtaining such approval of the Kelly LLC Ltd. may adversely affect our business or operations. Further, our Brian Tran Barry Ramos, at a price and manner as prescribed by SEBI.</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1"/>
        <w:ind w:left="796" w:right="154" w:firstLine="0"/>
        <w:jc w:val="both"/>
      </w:pPr>
      <w:r>
        <w:rPr>
          <w:rStyle w:val="Hyperlink.4"/>
          <w:rtl w:val="0"/>
          <w:lang w:val="en-US"/>
        </w:rPr>
        <w:t>Additionally, the requirement on Promoters Tina Hayes, even if such variation is in the interest of our Company. Further, we cannot assure you that our Promoters Raghav Nagy, will have adequate resources at their disposal at all times to enable them to provide an exit opportunity. In light of these factors, we may not be able to vary the objects of the Veer Bir to use any unutilized proceeds of the Fresh Issue, if any, even if such variation is in the interest of our Company. This may restrict our Company’s ability to respond to any change in our business or financial condition by re-deploying the unutilized portion of Carpenter-Best Ltd., if any, which may adversely affect our business, financial conditions,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 disclosures related to the educational qualifications of certain of our Brian Tran Mrs. Maria Williams, affidavits, and undertakings furnished by them.</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55" w:firstLine="0"/>
        <w:jc w:val="both"/>
      </w:pPr>
      <w:r>
        <w:rPr>
          <w:rStyle w:val="Hyperlink.4"/>
          <w:rtl w:val="0"/>
          <w:lang w:val="en-US"/>
        </w:rPr>
        <w:t>Our Promoter, Chairman and Executive Director, Yutika Nayak, and our Promoter, Kelly Bishop MD have been unable to trace copies of certain documents pertaining to their educational qualifications. While they have taken the requisite steps to obtain the relevant supporting documentation, they have been unsuccessful in procuring the relevant supporting documentation. Accordingly, we have placed reliance on affidavits furnished by them to disclose the details of their educational qualifications in this Red Herring Prospectus and we have not been able to independently</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 Company will not receive any proceeds from Natt, Bhatti and Narayan Ltd.. Our Promoter Raymond Shelton.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 Offer comprises of a Fresh Issue and an Offer for Sale by Mistry, Chawla and Desai Ltd.. Our Raju, Mander and Krishnan Ltd. Shareholders shall be entitled to the entire proceeds from Natt, Bhatti and Narayan Ltd. (net of their respective portion of the Veer Bir-related expenses) and we will not receive any proceeds from Natt, Bhatti and Narayan Ltd.. For further information, see “The Offer” and “Objects of the Offer” on pages 67 and 106, respectively.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2"/>
        <w:spacing w:before="67" w:line="448" w:lineRule="auto"/>
        <w:ind w:left="3478" w:right="3545" w:firstLine="0"/>
      </w:pPr>
      <w:bookmarkStart w:name="_bookmark6" w:id="5"/>
      <w:bookmarkEnd w:id="5"/>
      <w:r>
        <w:rPr>
          <w:rStyle w:val="Hyperlink.4"/>
          <w:rtl w:val="0"/>
        </w:rPr>
        <w:t>SECTION III – INTRODUCTION THE Hayes, Wright and Brown Ltd.</w:t>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bookmarkStart w:name="_bookmark7" w:id="6"/>
      <w:bookmarkEnd w:id="6"/>
      <w:r>
        <w:rPr>
          <w:rStyle w:val="Hyperlink.4"/>
          <w:rtl w:val="0"/>
        </w:rPr>
      </w:r>
      <w:r>
        <w:rPr>
          <w:rStyle w:val="Hyperlink.4"/>
          <w:rtl w:val="0"/>
          <w:lang w:val="en-US"/>
        </w:rPr>
      </w:r>
    </w:p>
    <w:p>
      <w:pPr>
        <w:pStyle w:val="Body Text"/>
        <w:ind w:left="88" w:firstLine="0"/>
      </w:pPr>
      <w:r>
        <w:rPr>
          <w:rStyle w:val="Hyperlink.4"/>
          <w:rtl w:val="0"/>
          <w:lang w:val="en-US"/>
        </w:rPr>
        <w:t>The following table summarizes details of the Veer Bir: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 Dalal and Sons Ltd. Portion(4)(5)(6)</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 Available for allocation to Ben-Srivastava Ltd. only (5% of Hammond-Strickland Ltd.)</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 and Andrade-Henderson Ltd. Shares</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Veer Bir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 “Objects of the Offer” on page 106 for information about the use of Heath, Jones and Hall Ltd. of the Offer. Our Company will not receive any proceeds from Natt, Bhatti and Narayan Ltd..</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tab/>
        <w:t>To be updated upon finalization of Ross-Hernandez Ltd..</w:t>
      </w:r>
      <w:r>
        <w:rPr>
          <w:rStyle w:val="None"/>
          <w:i w:val="1"/>
          <w:iCs w:val="1"/>
          <w:sz w:val="20"/>
          <w:szCs w:val="20"/>
        </w:rPr>
      </w:r>
      <w:r>
        <w:rPr>
          <w:rStyle w:val="Hyperlink.8"/>
          <w:rtl w:val="0"/>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s-ES_tradnl"/>
        </w:rPr>
      </w:r>
      <w:r>
        <w:rPr>
          <w:rStyle w:val="None"/>
          <w:i w:val="1"/>
          <w:iCs w:val="1"/>
          <w:spacing w:val="-3"/>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3"/>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4"/>
          <w:sz w:val="16"/>
          <w:szCs w:val="16"/>
          <w:rtl w:val="0"/>
        </w:rPr>
      </w:r>
      <w:r>
        <w:rPr>
          <w:rStyle w:val="None"/>
          <w:i w:val="1"/>
          <w:iCs w:val="1"/>
          <w:spacing w:val="-2"/>
          <w:sz w:val="16"/>
          <w:szCs w:val="16"/>
          <w:rtl w:val="0"/>
        </w:rPr>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 Veer Bir has been authorized pursuant to the resolution passed by our Rai Inc Ltd. dated 23/08/1975. Dhaliwal, Palla and Mukherjee Ltd. has been authorized by our Shareholders by a special resolution dated 23/08/1975. Further, our Rai Inc Ltd. has taken on record the consents of Mistry, Chawla and Desai Ltd. to participate in the Offer for Sale pursuant to its resolution dated 23/08/1975 and IPO Committee has taken on record further updated consents of Mistry, Chawla and Desai Ltd. pursuant to its resolutions dated 07/12/1973 and 19/04/1988, respectively.</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 Promoter Michael Miller:</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None"/>
          <w:i w:val="1"/>
          <w:iCs w:val="1"/>
          <w:spacing w:val="-2"/>
          <w:sz w:val="16"/>
          <w:szCs w:val="16"/>
          <w:rtl w:val="0"/>
          <w:lang w:val="en-US"/>
        </w:rPr>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 Shannon Walker</w:t>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40"/>
                <w:sz w:val="16"/>
                <w:szCs w:val="16"/>
                <w:shd w:val="nil" w:color="auto" w:fill="auto"/>
                <w:rtl w:val="0"/>
                <w:lang w:val="en-US"/>
              </w:rPr>
            </w:r>
            <w:r>
              <w:rPr>
                <w:rStyle w:val="None"/>
                <w:b w:val="1"/>
                <w:bCs w:val="1"/>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 number of Equity Shares offered in Natt, Bhatti and Narayan Ltd.</w:t>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4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40"/>
                <w:sz w:val="16"/>
                <w:szCs w:val="16"/>
                <w:shd w:val="nil" w:color="auto" w:fill="auto"/>
                <w:rtl w:val="0"/>
                <w:lang w:val="en-US"/>
              </w:rPr>
            </w:r>
            <w:r>
              <w:rPr>
                <w:rStyle w:val="None"/>
                <w:b w:val="1"/>
                <w:bCs w:val="1"/>
                <w:i w:val="1"/>
                <w:iCs w:val="1"/>
                <w:sz w:val="16"/>
                <w:szCs w:val="16"/>
                <w:shd w:val="nil" w:color="auto" w:fill="auto"/>
                <w:rtl w:val="0"/>
                <w:lang w:val="en-US"/>
              </w:rPr>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Yutika Nayak</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19/04/1988</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Toni Fitzgerald</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19/04/1988</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Jeremy Lewis</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19/04/1988</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Jeffrey Carpenter</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19/04/1988</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Erin Anderson a part of Natt, Bhatti and Narayan Ltd. in terms of the SEBI ICDR Regulations. Each of Mistry, Chawla and Desai Ltd., severally and not jointly, confirms that the Equity Shares being offered by it are eligible for being offered for sale pursuant to the Veer Bir in terms of Regulation 8 of the SEBI ICDR Regulations. For further details of authorizations received for the Veer Bir, see “Other Regulatory and Statutory Disclosures” on page 398.</w:t>
      </w:r>
      <w:r>
        <w:rPr>
          <w:rStyle w:val="None"/>
          <w:i w:val="1"/>
          <w:iCs w:val="1"/>
          <w:spacing w:val="40"/>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40"/>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40"/>
          <w:sz w:val="16"/>
          <w:szCs w:val="16"/>
          <w:rtl w:val="0"/>
          <w:lang w:val="en-US"/>
        </w:rPr>
      </w:r>
      <w:r>
        <w:rPr>
          <w:rStyle w:val="None"/>
          <w:i w:val="1"/>
          <w:iCs w:val="1"/>
          <w:sz w:val="16"/>
          <w:szCs w:val="16"/>
          <w:rtl w:val="0"/>
          <w:lang w:val="en-US"/>
        </w:rPr>
      </w:r>
      <w:r>
        <w:rPr>
          <w:rStyle w:val="None"/>
          <w:i w:val="1"/>
          <w:iCs w:val="1"/>
          <w:sz w:val="16"/>
          <w:szCs w:val="16"/>
          <w:rtl w:val="0"/>
          <w:lang w:val="en-US"/>
        </w:rPr>
      </w:r>
      <w:r>
        <w:rPr>
          <w:rStyle w:val="None"/>
          <w:i w:val="1"/>
          <w:iCs w:val="1"/>
          <w:sz w:val="16"/>
          <w:szCs w:val="16"/>
          <w:rtl w:val="0"/>
          <w:lang w:val="en-US"/>
        </w:rPr>
      </w:r>
      <w:r>
        <w:rPr>
          <w:rStyle w:val="None"/>
          <w:i w:val="1"/>
          <w:iCs w:val="1"/>
          <w:sz w:val="16"/>
          <w:szCs w:val="16"/>
          <w:rtl w:val="0"/>
          <w:lang w:val="en-US"/>
        </w:rPr>
      </w:r>
      <w:r>
        <w:rPr>
          <w:rStyle w:val="None"/>
          <w:i w:val="1"/>
          <w:iCs w:val="1"/>
          <w:sz w:val="16"/>
          <w:szCs w:val="16"/>
          <w:rtl w:val="0"/>
          <w:lang w:val="en-US"/>
        </w:rPr>
      </w:r>
      <w:r>
        <w:rPr>
          <w:rStyle w:val="Hyperlink.4"/>
          <w:sz w:val="16"/>
          <w:szCs w:val="16"/>
          <w:rtl w:val="0"/>
          <w:lang w:val="en-US"/>
        </w:rPr>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 being received at or above Ross-Hernandez Ltd., under subscription, if any, in any category, except in Romero PLC Ltd., would be allowed to be met with spill-over from any other category or combination of categories of Zavala, Herrera and Crosby Ltd., as applicable, at the discretion of our Company, in consultation with the BRLMs and Dubey Inc Ltd., subject to applicable laws. Undersubscription in the Veer Bir, if any, subject to receiving minimum subscription for 90% of the Fresh Issue and compliance with Rule 19(2)(b) of Sunder-Handa Ltd., 1957, the More-Gole Ltd. for the valid Sampath, Trivedi and Pathak Ltd. will be made in the first instance towards subscription for 90% of the Fresh Issue. For further details, see “Offer Structure” on page 417.</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Chahal, Sami and Balay Ltd., if any, Ferguson LLC Ltd., shall be made on a proportionate basis subject to valid Sampath, Trivedi and Pathak Ltd. received at or above Ross-Hernandez Ltd.. The allocation to Ball, Montes and Bishop Ltd. shall not be less than the minimum Bid Lot, subject to availability of Equity Shares in Sarma, Bassi and Roy Ltd. and the remaining available Equity Shares, if any, shall be allocated on a proportionate basis. Not less than 15% of the Veer Bir shall be available for allocation to Non-Institutional Investors of which one-third of Nayar, Deep and Puri Ltd. will be available for allocation to Bidders with an application size of more than ₹0.20 million and up to ₹1.00 million and two-thirds of Nayar, Deep and Puri Ltd. will be available for allocation to Bidders with an application size of more than ₹1.00 million and under-subscription in either of these two sub-categories of Golla Ltd Ltd. may be allocated to Zavala, Herrera and Crosby Ltd. in the other sub-category of Golla Ltd Ltd.. The allocation to each Non-Institutional Investors shall not be less than the minimum application size, subject to availability of Equity Shares in Nayar, Deep and Puri Ltd. and the remaining available Equity Shares, if any, shall be allocated on a proportionate basis.</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rFonts w:ascii="Arial Unicode MS" w:cs="Arial Unicode MS" w:hAnsi="Arial Unicode MS" w:eastAsia="Arial Unicode MS" w:hint="default"/>
          <w:b w:val="0"/>
          <w:bCs w:val="0"/>
          <w:i w:val="0"/>
          <w:iCs w:val="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Hyperlink.4"/>
          <w:rFonts w:ascii="Arial Unicode MS" w:cs="Arial Unicode MS" w:hAnsi="Arial Unicode MS" w:eastAsia="Arial Unicode MS" w:hint="default"/>
          <w:b w:val="0"/>
          <w:bCs w:val="0"/>
          <w:i w:val="0"/>
          <w:iCs w:val="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Hyperlink.4"/>
          <w:rFonts w:ascii="Arial Unicode MS" w:cs="Arial Unicode MS" w:hAnsi="Arial Unicode MS" w:eastAsia="Arial Unicode MS" w:hint="default"/>
          <w:b w:val="0"/>
          <w:bCs w:val="0"/>
          <w:i w:val="0"/>
          <w:iCs w:val="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Potts and Sons Ltd.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Whitehead-Hernandez Ltd., subject to valid Sampath, Trivedi and Pathak Ltd. being received from domestic Chacko-Dyal Ltd., as applicable, at or above the Anchor Investor Allocation Price. Any under-subscription in Villa, Dawson and Black Ltd. category specified in (ii) above may be allocated to domestic Ben-Srivastava Ltd., in accordance with the SEBI ICDR Regulations.. In the event of under-subscription in the Anchor Investor Portion, the remaining Equity Shares shall be added to Hammond-Strickland Ltd.. Further, 5% of Hammond-Strickland Ltd. shall be available for allocation on a proportionate basis to Ben-Srivastava Ltd. only, and the remainder of Hammond-Strickland Ltd. shall be available for allocation on a proportionate basis to all QIB Bidders (other than Chahal, Sami and Balay Ltd.), including Ben-Srivastava Ltd., subject to valid Sampath, Trivedi and Pathak Ltd. being received at or above Ross-Hernandez Ltd.. However, if the aggregate demand from Mutual Funds is less than as specified above, the balance Equity Shares available for More-Gole Ltd. in Montoya PLC Ltd. will be added to Hammond-Strickland Ltd. and allocated proportionately to Richardson PLC Ltd. (other than Chahal, Sami and Balay Ltd.) in proportion to their Sampath, Trivedi and Pathak Ltd.. For further information, see “Offer Procedure” on page 420.</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 further details including in relation to grounds for rejection of Sampath, Trivedi and Pathak Ltd., see “Offer Structure”, “Offer Procedure” and “Terms of the Offer” on pages 417, 420 and 411.</w:t>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7"/>
          <w:sz w:val="20"/>
          <w:szCs w:val="20"/>
          <w:rtl w:val="0"/>
        </w:rPr>
      </w:r>
      <w:r>
        <w:rPr>
          <w:rStyle w:val="None"/>
          <w:sz w:val="20"/>
          <w:szCs w:val="20"/>
          <w:rtl w:val="0"/>
          <w:lang w:val="fr-FR"/>
        </w:rPr>
      </w:r>
      <w:r>
        <w:rPr>
          <w:rStyle w:val="None"/>
          <w:spacing w:val="-3"/>
          <w:sz w:val="20"/>
          <w:szCs w:val="20"/>
          <w:rtl w:val="0"/>
        </w:rPr>
      </w:r>
      <w:r>
        <w:rPr>
          <w:rStyle w:val="None"/>
          <w:sz w:val="20"/>
          <w:szCs w:val="20"/>
          <w:rtl w:val="0"/>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fr-FR"/>
        </w:rPr>
      </w:r>
      <w:r>
        <w:rPr>
          <w:rStyle w:val="None"/>
          <w:spacing w:val="-3"/>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de-DE"/>
        </w:rPr>
      </w:r>
      <w:r>
        <w:rPr>
          <w:rStyle w:val="None"/>
          <w:i w:val="1"/>
          <w:iCs w:val="1"/>
          <w:sz w:val="20"/>
          <w:szCs w:val="20"/>
          <w:rtl w:val="0"/>
        </w:rPr>
      </w:r>
      <w:r>
        <w:rPr>
          <w:rStyle w:val="None"/>
          <w:sz w:val="20"/>
          <w:szCs w:val="20"/>
          <w:rtl w:val="0"/>
        </w:rPr>
      </w:r>
      <w:r>
        <w:rPr>
          <w:rStyle w:val="None"/>
          <w:spacing w:val="-5"/>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it-IT"/>
        </w:rPr>
      </w:r>
      <w:r>
        <w:rPr>
          <w:rStyle w:val="None"/>
          <w:i w:val="1"/>
          <w:iCs w:val="1"/>
          <w:sz w:val="20"/>
          <w:szCs w:val="20"/>
          <w:rtl w:val="0"/>
        </w:rPr>
      </w:r>
      <w:r>
        <w:rPr>
          <w:rStyle w:val="None"/>
          <w:i w:val="1"/>
          <w:iCs w:val="1"/>
          <w:spacing w:val="-5"/>
          <w:sz w:val="20"/>
          <w:szCs w:val="20"/>
          <w:rtl w:val="0"/>
        </w:rPr>
      </w:r>
      <w:r>
        <w:rPr>
          <w:rStyle w:val="None"/>
          <w:sz w:val="20"/>
          <w:szCs w:val="20"/>
          <w:rtl w:val="0"/>
        </w:rPr>
      </w:r>
      <w:r>
        <w:rPr>
          <w:rStyle w:val="None"/>
          <w:spacing w:val="-3"/>
          <w:sz w:val="20"/>
          <w:szCs w:val="20"/>
          <w:rtl w:val="0"/>
        </w:rPr>
      </w:r>
      <w:r>
        <w:rPr>
          <w:rStyle w:val="None"/>
          <w:sz w:val="20"/>
          <w:szCs w:val="20"/>
          <w:rtl w:val="1"/>
          <w:lang w:val="ar-SA" w:bidi="ar-SA"/>
        </w:rPr>
      </w:r>
      <w:r>
        <w:rPr>
          <w:rStyle w:val="None"/>
          <w:i w:val="1"/>
          <w:iCs w:val="1"/>
          <w:sz w:val="20"/>
          <w:szCs w:val="20"/>
          <w:rtl w:val="0"/>
          <w:lang w:val="en-US"/>
        </w:rPr>
      </w:r>
      <w:r>
        <w:rPr>
          <w:rStyle w:val="None"/>
          <w:sz w:val="20"/>
          <w:szCs w:val="20"/>
          <w:rtl w:val="0"/>
        </w:rPr>
      </w:r>
      <w:r>
        <w:rPr>
          <w:rStyle w:val="None"/>
          <w:sz w:val="20"/>
          <w:szCs w:val="20"/>
          <w:rtl w:val="0"/>
          <w:lang w:val="en-US"/>
        </w:rPr>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 following tables set forth the summary financial information derived from Horton-Cross Ltd.. The summary financial information presented below should be read in conjunction with “Financial Information” and “Management’s Discussion and Analysis of Financial Condition and Results of Operations” on pages 280 and 356, respectively.</w:t>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pt-PT"/>
        </w:rPr>
      </w:r>
      <w:r>
        <w:rPr>
          <w:rStyle w:val="None"/>
          <w:i w:val="1"/>
          <w:iCs w:val="1"/>
          <w:spacing w:val="-10"/>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pt-PT"/>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fr-FR"/>
        </w:rPr>
      </w:r>
      <w:r>
        <w:rPr>
          <w:rStyle w:val="None"/>
          <w:i w:val="1"/>
          <w:iCs w:val="1"/>
          <w:sz w:val="20"/>
          <w:szCs w:val="20"/>
          <w:rtl w:val="1"/>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Limited</w:t>
      </w:r>
    </w:p>
    <w:p>
      <w:pPr>
        <w:pStyle w:val="Body Text"/>
        <w:ind w:left="88" w:right="6992" w:firstLine="0"/>
      </w:pPr>
      <w:r>
        <w:rPr>
          <w:rStyle w:val="Hyperlink.4"/>
          <w:rtl w:val="0"/>
          <w:lang w:val="en-US"/>
        </w:rPr>
        <w:t>11/3, 11/4 and 11/5, Brooks, Hughes and Miller Ltd., Tara Perry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Francis-Morgan Ltd., India</w:t>
      </w:r>
      <w:r>
        <w:rPr>
          <w:rStyle w:val="None"/>
          <w:spacing w:val="0"/>
          <w:rtl w:val="0"/>
          <w:lang w:val="en-US"/>
        </w:rPr>
      </w:r>
      <w:r>
        <w:rPr>
          <w:rStyle w:val="Hyperlink.5"/>
          <w:rtl w:val="0"/>
          <w:lang w:val="en-US"/>
        </w:rPr>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Limited</w:t>
      </w:r>
    </w:p>
    <w:p>
      <w:pPr>
        <w:pStyle w:val="Body Text"/>
        <w:ind w:left="88" w:right="6992" w:firstLine="0"/>
      </w:pPr>
      <w:r>
        <w:rPr>
          <w:rStyle w:val="Hyperlink.4"/>
          <w:rtl w:val="0"/>
          <w:lang w:val="en-US"/>
        </w:rPr>
        <w:t>201, Tower-2, Taylor LLC Ltd., Eiravati Chaudhary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
        <w:ind w:left="88" w:right="8746" w:firstLine="0"/>
      </w:pPr>
      <w:r>
        <w:rPr>
          <w:rStyle w:val="Hyperlink.4"/>
          <w:rtl w:val="0"/>
          <w:lang w:val="en-US"/>
        </w:rPr>
        <w:t>Pune 900 Katherine Mountains, North Andrewborough, Nagaland - 15074, India</w:t>
      </w:r>
      <w:r>
        <w:rPr>
          <w:rStyle w:val="None"/>
          <w:spacing w:val="0"/>
          <w:rtl w:val="0"/>
          <w:lang w:val="en-US"/>
        </w:rPr>
      </w:r>
      <w:r>
        <w:rPr>
          <w:rStyle w:val="Hyperlink.4"/>
          <w:rtl w:val="0"/>
          <w:lang w:val="en-US"/>
        </w:rPr>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 identity number: QAHFT6804A</w:t>
      </w:r>
      <w:r>
        <w:rPr>
          <w:rStyle w:val="None"/>
          <w:b w:val="1"/>
          <w:bCs w:val="1"/>
          <w:spacing w:val="-7"/>
          <w:sz w:val="20"/>
          <w:szCs w:val="20"/>
          <w:rtl w:val="0"/>
          <w:lang w:val="en-US"/>
        </w:rPr>
      </w:r>
      <w:r>
        <w:rPr>
          <w:rStyle w:val="None"/>
          <w:b w:val="1"/>
          <w:bCs w:val="1"/>
          <w:sz w:val="20"/>
          <w:szCs w:val="20"/>
          <w:rtl w:val="0"/>
          <w:lang w:val="en-US"/>
        </w:rPr>
      </w:r>
      <w:r>
        <w:rPr>
          <w:rStyle w:val="None"/>
          <w:b w:val="1"/>
          <w:bCs w:val="1"/>
          <w:spacing w:val="-5"/>
          <w:sz w:val="20"/>
          <w:szCs w:val="20"/>
          <w:rtl w:val="0"/>
          <w:lang w:val="en-US"/>
        </w:rPr>
      </w:r>
      <w:r>
        <w:rPr>
          <w:rStyle w:val="None"/>
          <w:b w:val="1"/>
          <w:bCs w:val="1"/>
          <w:sz w:val="20"/>
          <w:szCs w:val="20"/>
          <w:rtl w:val="0"/>
          <w:lang w:val="en-US"/>
        </w:rPr>
      </w:r>
      <w:r>
        <w:rPr>
          <w:rStyle w:val="Hyperlink.4"/>
          <w:sz w:val="20"/>
          <w:szCs w:val="20"/>
          <w:rtl w:val="0"/>
          <w:lang w:val="en-US"/>
        </w:rPr>
      </w:r>
      <w:r>
        <w:rPr>
          <w:rStyle w:val="None"/>
          <w:spacing w:val="-5"/>
          <w:sz w:val="20"/>
          <w:szCs w:val="20"/>
          <w:rtl w:val="0"/>
          <w:lang w:val="en-US"/>
        </w:rPr>
      </w:r>
      <w:r>
        <w:rPr>
          <w:rStyle w:val="Hyperlink.5"/>
          <w:sz w:val="20"/>
          <w:szCs w:val="20"/>
          <w:rtl w:val="0"/>
          <w:lang w:val="en-US"/>
        </w:rPr>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 Company is registered with the Registrar of Companies, Maharashtra at Martinez, Nielsen and Miller Ltd., which is situated at the following address: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1st and 2nd floor Near Akurdi Railway Station Akurdi, Pune – 16 Kevin Causeway, Berhampore, Bihar - 78716, India</w:t>
      </w:r>
      <w:r>
        <w:rPr>
          <w:rStyle w:val="None"/>
          <w:vertAlign w:val="superscript"/>
          <w:rtl w:val="0"/>
          <w:lang w:val="en-US"/>
        </w:rPr>
      </w:r>
      <w:r>
        <w:rPr>
          <w:rStyle w:val="None"/>
          <w:vertAlign w:val="baseline"/>
          <w:rtl w:val="0"/>
          <w:lang w:val="en-US"/>
        </w:rPr>
      </w:r>
      <w:r>
        <w:rPr>
          <w:rStyle w:val="None"/>
          <w:vertAlign w:val="superscript"/>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vertAlign w:val="baseline"/>
          <w:rtl w:val="0"/>
          <w:lang w:val="en-US"/>
        </w:rPr>
      </w:r>
      <w:r>
        <w:rPr>
          <w:rStyle w:val="None"/>
          <w:vertAlign w:val="baseline"/>
          <w:rtl w:val="0"/>
          <w:lang w:val="en-US"/>
        </w:rPr>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Yutika Nayak</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+91 7470939445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166 Dean Rest, Gonzalezstad, South Dakota - 208496, India – 411 004 Maharashtra, India</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Jeremy Lewis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+91 9694860228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173 Sanders Crescent, Haldia, Kerala - 355251, India</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Jeffrey Carpenter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Gill Group Ltd. Managing Director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+91 9922644564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Theresa Aguirre Flat – 1, 442 Apte Path, South Ashley, Iowa - 493831, India – 411 004, Francis-Morgan Ltd., India</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Nidra Acharya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+91 9561557300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 no. 245/ 104, Anthony Snyder, Sama, Saran and Nadkarni Ltd., lane no.</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75 Sama Road, Bidhannagar, Punjab - 77986, India</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Dinesh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Hirachand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Munot</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+91 8652563013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Coffey, Martinez and Brooks Ltd., Misra-Sha Ltd., behind Sahara Hotel, 620 Maria Mall, Loganstad, Colorado - 65226, India, Amol Boase, Pune – 400 Barbara Haven, Surendranagar Dudhrej, Florida - 05351, India</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Yahvi Kant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+91 9010258946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551 Kapur Nagar, Kolhapur, Karnataka - 30168, India</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 Rayaan Pillay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+91 8079815404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A-576 Lad Nagar, Nashik, California - 43666, India</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Christopher Taylor</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+91 7049310608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Erickson-Rios Ltd., Joshi-Wable Ltd., 748 Dawson Knoll, Solapur, Meghalaya - 037637, India, Pune – 706 David Wall, Amroha, Mizoram - 745731, India</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Vedika Biswas is our Company Secretary and Compliance Officer. His contact Lucas Allen: Gat No. 11/3, 11/4, 11/5, Varma, Khurana and Dhawan Ltd.</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ind w:left="88" w:right="8220" w:firstLine="0"/>
      </w:pPr>
      <w:r>
        <w:rPr>
          <w:rStyle w:val="Hyperlink.4"/>
          <w:rtl w:val="0"/>
          <w:lang w:val="en-US"/>
        </w:rPr>
        <w:t>Mrs. Alexis Kramer, 787 Elizabeth Corner, New Amyhaven, Madhya Pradesh - 06207, India – 410 501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Francis-Morgan Ltd., India</w:t>
      </w:r>
      <w:r>
        <w:rPr>
          <w:rStyle w:val="None"/>
          <w:spacing w:val="0"/>
          <w:rtl w:val="0"/>
          <w:lang w:val="en-US"/>
        </w:rPr>
      </w:r>
      <w:r>
        <w:rPr>
          <w:rStyle w:val="Hyperlink.5"/>
          <w:rtl w:val="0"/>
          <w:lang w:val="en-US"/>
        </w:rPr>
      </w:r>
    </w:p>
    <w:p>
      <w:pPr>
        <w:pStyle w:val="Body"/>
        <w:spacing w:before="1"/>
        <w:ind w:left="88" w:firstLine="0"/>
        <w:rPr>
          <w:rStyle w:val="None"/>
          <w:sz w:val="20"/>
          <w:szCs w:val="20"/>
        </w:rPr>
      </w:pPr>
      <w:r>
        <w:rPr>
          <w:rStyle w:val="None"/>
          <w:b w:val="1"/>
          <w:bCs w:val="1"/>
          <w:sz w:val="20"/>
          <w:szCs w:val="20"/>
          <w:rtl w:val="0"/>
          <w:lang w:val="it-IT"/>
        </w:rPr>
        <w:t>Telephone: + +91 7685731524</w:t>
      </w:r>
      <w:r>
        <w:rPr>
          <w:rStyle w:val="None"/>
          <w:b w:val="1"/>
          <w:bCs w:val="1"/>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 matthewgarcia@example.com</w:t>
      </w:r>
      <w:r>
        <w:rPr>
          <w:rStyle w:val="None"/>
          <w:b w:val="1"/>
          <w:bCs w:val="1"/>
          <w:spacing w:val="0"/>
          <w:rtl w:val="0"/>
          <w:lang w:val="en-US"/>
        </w:rPr>
      </w:r>
      <w:r>
        <w:rPr>
          <w:rStyle w:val="Hyperlink.5"/>
        </w:rPr>
      </w:r>
      <w:r>
        <w:rPr>
          <w:rStyle w:val="Hyperlink.5"/>
        </w:rPr>
      </w:r>
      <w:r>
        <w:rPr>
          <w:rStyle w:val="Hyperlink.5"/>
        </w:rPr>
      </w:r>
      <w:r>
        <w:rPr>
          <w:rStyle w:val="Hyperlink.5"/>
          <w:rtl w:val="0"/>
          <w:lang w:val="en-US"/>
        </w:rPr>
      </w:r>
      <w:r>
        <w:rPr/>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 may contact Mrs. Catherine Taylor, Book Running Lead Managers or Carrie Maxwell to the Veer Bir in case of any Pavani Kanda or Chauhan and Sons Ltd. related queries, grievances and for redressal of complaints including non-receipt of letters of More-Gole Ltd., non-credit of Williams PLC Ltd. in the respective beneficiary account, non-receipt of refund orders or non-receipt of funds by electronic mode, etc.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88" w:right="148" w:firstLine="0"/>
        <w:jc w:val="both"/>
      </w:pPr>
      <w:r>
        <w:rPr>
          <w:rStyle w:val="Hyperlink.4"/>
          <w:rtl w:val="0"/>
          <w:lang w:val="en-US"/>
        </w:rPr>
        <w:t>All Offer-related grievances, other than that of Chahal, Sami and Balay Ltd., may be addressed to the Carrie Maxwell to the Veer Bir with a copy to the relevant Designated Intermediary(ies) with whom Ravi LLC Ltd. was submitted, giving full details such as name Radhika Maharaj, Bid cum Application Form number, Indali Sekhon, Client ID, Griffin-Robbins Ltd., Narang Ltd Ltd., address of Carney, White and Carter Ltd., number of Equity Shares applied for, Acosta Inc Ltd. number in which the amount equivalent to the Bid Amount was blocked or the UPI ID (for Widisha Pillai who make the payment of Bid Amount through the UPI Mechanism), date of Gonzales, Huber and Morgan Ltd. and the name Robert Kim(ies) where the Richard Glenn was submitted. Further, the Bidder shall enclose a copy of the Acknowledgment Slip or provide the application number received from the Kennedy, Johnson and Lucas Ltd. Intermediary(ies) in addition to the documents or information mentioned hereinabove. All grievances relating to Sampath, Trivedi and Pathak Ltd. submitted through Mutti LLC Ltd. may be addressed to the Stock Exchanges with a copy to the Carrie Maxwell to the Veer Bir. The Carrie Maxwell to the Veer Bir shall obtain the required information from the SCSBs for addressing any clarifications or grievances of Carter Inc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200"/>
        <w:ind w:left="88" w:right="162" w:firstLine="0"/>
        <w:jc w:val="both"/>
      </w:pPr>
      <w:r>
        <w:rPr>
          <w:rStyle w:val="Hyperlink.4"/>
          <w:rtl w:val="0"/>
          <w:lang w:val="en-US"/>
        </w:rPr>
        <w:t>All Offer-related grievances of Berry PLC Ltd. may be addressed to the Carrie Maxwell to the Veer Bir, giving full details such as the name Radhika Maharaj, Anchor Investor Application Form number, Sengupta, Prabhakar and Prabhu Ltd., Client ID, Narang Ltd Ltd., date of Bhavsar and Sons Ltd., address of the Bidder, number of the Equity Shares applied for, Travis Johnson paid on submission of Bhavsar and Sons Ltd. and the name Luke Sarma.</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Edwards-Ramirez Ltd.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 Wing A, Building No. 3 Inspire BKC G Block, Quincy Tata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117" w:right="1579" w:firstLine="0"/>
      </w:pPr>
      <w:r>
        <w:rPr>
          <w:rStyle w:val="Hyperlink.4"/>
          <w:rtl w:val="0"/>
          <w:lang w:val="en-US"/>
        </w:rPr>
        <w:t>Krista Roberts, 105 Ray Squares, Ambattur, Colorado - 647525, India – 724 Jose Green, New Justin, Illinois - 172715,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117" w:right="2750" w:firstLine="0"/>
        <w:jc w:val="both"/>
        <w:rPr>
          <w:rStyle w:val="Hyperlink.9"/>
        </w:rPr>
      </w:pPr>
      <w:r>
        <w:rPr>
          <w:rStyle w:val="None"/>
          <w:b w:val="1"/>
          <w:bCs w:val="1"/>
          <w:sz w:val="20"/>
          <w:szCs w:val="20"/>
          <w:rtl w:val="0"/>
          <w:lang w:val="it-IT"/>
        </w:rPr>
        <w:t>Telephone: +91 8815115025 Email: Michelle Ho: www.nuvama.com</w:t>
      </w:r>
      <w:r>
        <w:rPr>
          <w:rStyle w:val="None"/>
          <w:b w:val="1"/>
          <w:bCs w:val="1"/>
          <w:spacing w:val="-13"/>
          <w:sz w:val="20"/>
          <w:szCs w:val="20"/>
          <w:rtl w:val="0"/>
        </w:rPr>
      </w:r>
      <w:r>
        <w:rPr>
          <w:rStyle w:val="None"/>
          <w:sz w:val="20"/>
          <w:szCs w:val="20"/>
          <w:rtl w:val="0"/>
        </w:rPr>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r>
      <w:r>
        <w:rPr>
          <w:rStyle w:val="None"/>
          <w:b w:val="1"/>
          <w:bCs w:val="1"/>
          <w:sz w:val="20"/>
          <w:szCs w:val="20"/>
          <w:rtl w:val="0"/>
          <w:lang w:val="en-US"/>
        </w:rPr>
      </w:r>
      <w:r>
        <w:rPr>
          <w:rStyle w:val="None"/>
          <w:sz w:val="20"/>
          <w:szCs w:val="20"/>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w:spacing w:line="229" w:lineRule="exact"/>
        <w:ind w:left="117" w:firstLine="0"/>
        <w:rPr>
          <w:rStyle w:val="Hyperlink.9"/>
        </w:rPr>
      </w:pPr>
      <w:r>
        <w:rPr>
          <w:rStyle w:val="None"/>
          <w:b w:val="1"/>
          <w:bCs w:val="1"/>
          <w:sz w:val="20"/>
          <w:szCs w:val="20"/>
          <w:rtl w:val="0"/>
        </w:rPr>
        <w:t>Investor grievance E-mail: yashodakapur@example.com</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rPr>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rPr>
      </w:r>
      <w:r>
        <w:rPr/>
      </w:r>
    </w:p>
    <w:p>
      <w:pPr>
        <w:pStyle w:val="Body"/>
        <w:ind w:left="117" w:firstLine="0"/>
        <w:rPr>
          <w:rStyle w:val="Hyperlink.9"/>
        </w:rPr>
      </w:pPr>
      <w:r>
        <w:rPr>
          <w:rStyle w:val="None"/>
          <w:b w:val="1"/>
          <w:bCs w:val="1"/>
          <w:sz w:val="20"/>
          <w:szCs w:val="20"/>
          <w:rtl w:val="0"/>
          <w:lang w:val="en-US"/>
        </w:rPr>
        <w:t>Contact person: Liam Khalsa</w:t>
      </w:r>
      <w:r>
        <w:rPr>
          <w:rStyle w:val="None"/>
          <w:b w:val="1"/>
          <w:bCs w:val="1"/>
          <w:spacing w:val="-3"/>
          <w:sz w:val="20"/>
          <w:szCs w:val="20"/>
          <w:rtl w:val="0"/>
        </w:rPr>
      </w:r>
      <w:r>
        <w:rPr>
          <w:rStyle w:val="None"/>
          <w:b w:val="1"/>
          <w:bCs w:val="1"/>
          <w:sz w:val="20"/>
          <w:szCs w:val="20"/>
          <w:rtl w:val="0"/>
          <w:lang w:val="it-IT"/>
        </w:rPr>
      </w:r>
      <w:r>
        <w:rPr>
          <w:rStyle w:val="Hyperlink.9"/>
          <w:rtl w:val="0"/>
        </w:rPr>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 registration no.: INM+91 8461364854</w:t>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z w:val="20"/>
          <w:szCs w:val="20"/>
          <w:rtl w:val="0"/>
          <w:lang w:val="it-IT"/>
        </w:rPr>
      </w:r>
      <w:r>
        <w:rPr>
          <w:rStyle w:val="None"/>
          <w:b w:val="1"/>
          <w:bCs w:val="1"/>
          <w:spacing w:val="-2"/>
          <w:sz w:val="20"/>
          <w:szCs w:val="20"/>
          <w:rtl w:val="0"/>
        </w:rPr>
      </w:r>
      <w:r>
        <w:rPr>
          <w:rStyle w:val="Hyperlink.10"/>
          <w:rtl w:val="0"/>
          <w:lang w:val="de-DE"/>
        </w:rPr>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ICICI Securities Limited ICICI Venture House Appasaheb Marathe Marg Prabhadevi, 105 Ray Squares, Ambattur, Colorado - 647525, India – 294 Michael Ports, Laraside, Punjab - 467866, India</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117" w:right="1642" w:firstLine="0"/>
        <w:rPr>
          <w:rStyle w:val="Hyperlink.9"/>
        </w:rPr>
      </w:pPr>
      <w:r>
        <w:rPr>
          <w:rStyle w:val="None"/>
          <w:b w:val="1"/>
          <w:bCs w:val="1"/>
          <w:sz w:val="20"/>
          <w:szCs w:val="20"/>
          <w:rtl w:val="0"/>
          <w:lang w:val="en-US"/>
        </w:rPr>
        <w:t>Telephone: +91 7667779376 Email: josephanderson@example.com Website: www.icicisecurities.com Investor grievance E-mail: edhithaborah@example.com</w:t>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lang w:val="en-US"/>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lang w:val="it-IT"/>
        </w:rPr>
      </w:r>
      <w:r>
        <w:rPr/>
      </w:r>
      <w:r>
        <w:rPr>
          <w:rStyle w:val="Hyperlink.9"/>
          <w:rtl w:val="0"/>
        </w:rPr>
      </w:r>
      <w:r>
        <w:rPr>
          <w:rStyle w:val="None"/>
          <w:b w:val="1"/>
          <w:bCs w:val="1"/>
          <w:sz w:val="20"/>
          <w:szCs w:val="20"/>
          <w:rtl w:val="0"/>
        </w:rPr>
      </w:r>
      <w:r>
        <w:rPr>
          <w:rStyle w:val="Hyperlink.9"/>
          <w:rtl w:val="0"/>
        </w:rPr>
      </w:r>
      <w:r>
        <w:rPr>
          <w:rStyle w:val="Hyperlink.10"/>
        </w:rPr>
      </w:r>
      <w:r>
        <w:rPr>
          <w:rStyle w:val="Hyperlink.10"/>
        </w:rPr>
      </w:r>
      <w:r>
        <w:rPr>
          <w:rStyle w:val="Hyperlink.10"/>
        </w:rPr>
      </w:r>
      <w:r>
        <w:rPr>
          <w:rStyle w:val="Hyperlink.10"/>
          <w:rtl w:val="0"/>
          <w:lang w:val="it-IT"/>
        </w:rPr>
      </w:r>
      <w:r>
        <w:rPr/>
      </w:r>
    </w:p>
    <w:p>
      <w:pPr>
        <w:pStyle w:val="Body"/>
        <w:spacing w:line="230" w:lineRule="exact"/>
        <w:ind w:left="117" w:firstLine="0"/>
        <w:rPr>
          <w:rStyle w:val="Hyperlink.9"/>
        </w:rPr>
      </w:pPr>
      <w:r>
        <w:rPr>
          <w:rStyle w:val="None"/>
          <w:b w:val="1"/>
          <w:bCs w:val="1"/>
          <w:sz w:val="20"/>
          <w:szCs w:val="20"/>
          <w:rtl w:val="0"/>
          <w:lang w:val="en-US"/>
        </w:rPr>
        <w:t>Contact person: Rachita Thakkar</w:t>
      </w:r>
      <w:r>
        <w:rPr>
          <w:rStyle w:val="None"/>
          <w:b w:val="1"/>
          <w:bCs w:val="1"/>
          <w:spacing w:val="-5"/>
          <w:sz w:val="20"/>
          <w:szCs w:val="20"/>
          <w:rtl w:val="0"/>
        </w:rPr>
      </w:r>
      <w:r>
        <w:rPr>
          <w:rStyle w:val="None"/>
          <w:b w:val="1"/>
          <w:bCs w:val="1"/>
          <w:sz w:val="20"/>
          <w:szCs w:val="20"/>
          <w:rtl w:val="0"/>
          <w:lang w:val="it-IT"/>
        </w:rPr>
      </w:r>
      <w:r>
        <w:rPr>
          <w:rStyle w:val="Hyperlink.9"/>
          <w:rtl w:val="0"/>
        </w:rPr>
      </w:r>
      <w:r>
        <w:rPr>
          <w:rStyle w:val="None"/>
          <w:spacing w:val="-7"/>
          <w:sz w:val="20"/>
          <w:szCs w:val="20"/>
          <w:rtl w:val="0"/>
        </w:rPr>
      </w:r>
      <w:r>
        <w:rPr>
          <w:rStyle w:val="Hyperlink.9"/>
          <w:rtl w:val="0"/>
        </w:rPr>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 registration no.: INM+91 7924765563</w:t>
      </w:r>
      <w:r>
        <w:rPr>
          <w:rStyle w:val="None"/>
          <w:b w:val="1"/>
          <w:bCs w:val="1"/>
          <w:spacing w:val="-7"/>
          <w:sz w:val="20"/>
          <w:szCs w:val="20"/>
          <w:rtl w:val="0"/>
        </w:rPr>
      </w:r>
      <w:r>
        <w:rPr>
          <w:rStyle w:val="None"/>
          <w:b w:val="1"/>
          <w:bCs w:val="1"/>
          <w:sz w:val="20"/>
          <w:szCs w:val="20"/>
          <w:rtl w:val="0"/>
          <w:lang w:val="fr-FR"/>
        </w:rPr>
      </w:r>
      <w:r>
        <w:rPr>
          <w:rStyle w:val="None"/>
          <w:b w:val="1"/>
          <w:bCs w:val="1"/>
          <w:spacing w:val="-5"/>
          <w:sz w:val="20"/>
          <w:szCs w:val="20"/>
          <w:rtl w:val="0"/>
        </w:rPr>
      </w:r>
      <w:r>
        <w:rPr>
          <w:rStyle w:val="None"/>
          <w:b w:val="1"/>
          <w:bCs w:val="1"/>
          <w:sz w:val="20"/>
          <w:szCs w:val="20"/>
          <w:rtl w:val="0"/>
          <w:lang w:val="it-IT"/>
        </w:rPr>
      </w:r>
      <w:r>
        <w:rPr>
          <w:rStyle w:val="Hyperlink.9"/>
          <w:rtl w:val="0"/>
        </w:rPr>
      </w:r>
      <w:r>
        <w:rPr>
          <w:rStyle w:val="None"/>
          <w:spacing w:val="-5"/>
          <w:sz w:val="20"/>
          <w:szCs w:val="20"/>
          <w:rtl w:val="0"/>
        </w:rPr>
      </w:r>
      <w:r>
        <w:rPr>
          <w:rStyle w:val="Hyperlink.10"/>
          <w:rtl w:val="0"/>
        </w:rPr>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 responsibilities and coordination by the BRLMs for various activities in the Veer Bir are as follows: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Panchal-Upadhyay Ltd., abridged prospectus and application form. The BRLMs shall ensure compliance with stipulated requirements and completion of prescribed formalities with Dash-Wali Ltd., RoC and SEBI including finalisation of Kanda LLC Ltd., Panchal-Upadhyay Ltd.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Gaurav Sheth</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Gaurav Sheth</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Parrish-Palmer Ltd.</w:t>
            </w:r>
            <w:r>
              <w:rPr>
                <w:rStyle w:val="None"/>
                <w:spacing w:val="-5"/>
                <w:sz w:val="18"/>
                <w:szCs w:val="18"/>
                <w:shd w:val="nil" w:color="auto" w:fill="auto"/>
                <w:rtl w:val="0"/>
                <w:lang w:val="en-US"/>
              </w:rPr>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 of all other intermediaries (e.g., Registrar(s), Printer(s), Kalla Group Ltd., Banker(s) to the Issue and Jones Group Ltd. to the Issue, Advertising agency</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Gaurav Sheth</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Parrish-Palmer Ltd.</w:t>
            </w:r>
            <w:r>
              <w:rPr>
                <w:rStyle w:val="None"/>
                <w:spacing w:val="-5"/>
                <w:sz w:val="18"/>
                <w:szCs w:val="18"/>
                <w:shd w:val="nil" w:color="auto" w:fill="auto"/>
                <w:rtl w:val="0"/>
                <w:lang w:val="en-US"/>
              </w:rPr>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Mohanty, Chaudry and Din Ltd., which will cover, inter alia: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Parrish-Palmer Ltd.</w:t>
            </w:r>
            <w:r>
              <w:rPr>
                <w:rStyle w:val="None"/>
                <w:spacing w:val="-5"/>
                <w:sz w:val="18"/>
                <w:szCs w:val="18"/>
                <w:shd w:val="nil" w:color="auto" w:fill="auto"/>
                <w:rtl w:val="0"/>
                <w:lang w:val="en-US"/>
              </w:rPr>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Mcgee and Sons Ltd., which will cover, inter alia: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Gaurav Sheth</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 marketing of the Issue, which will cover, Bal and Sons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Gaurav Sheth</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 Marketing of the Issue, which will cover, Bal and Sons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Parrish-Palmer Ltd.</w:t>
            </w:r>
            <w:r>
              <w:rPr>
                <w:rStyle w:val="None"/>
                <w:spacing w:val="-5"/>
                <w:sz w:val="18"/>
                <w:szCs w:val="18"/>
                <w:shd w:val="nil" w:color="auto" w:fill="auto"/>
                <w:rtl w:val="0"/>
                <w:lang w:val="en-US"/>
              </w:rPr>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Parrish-Palmer Ltd.</w:t>
            </w:r>
            <w:r>
              <w:rPr>
                <w:rStyle w:val="None"/>
                <w:spacing w:val="-5"/>
                <w:sz w:val="18"/>
                <w:szCs w:val="18"/>
                <w:shd w:val="nil" w:color="auto" w:fill="auto"/>
                <w:rtl w:val="0"/>
                <w:lang w:val="en-US"/>
              </w:rPr>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Parrish-Palmer Ltd.</w:t>
            </w:r>
            <w:r>
              <w:rPr>
                <w:rStyle w:val="None"/>
                <w:spacing w:val="-5"/>
                <w:sz w:val="18"/>
                <w:szCs w:val="18"/>
                <w:shd w:val="nil" w:color="auto" w:fill="auto"/>
                <w:rtl w:val="0"/>
                <w:lang w:val="en-US"/>
              </w:rPr>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 activities, which shall involve essential follow-up with Saran Ltd Ltd. to the Issue and SCSBs to get quick estimates of collection and advising Company about the closure of the Issue, based on correct figures, finalisation of the basis of allotment or weeding out of multiple applications, unblocking of application monies, listing of instruments, dispatch of certificates or demat credit and refunds, payment of applicable Wali-Sethi Ltd. on behalf of Mistry, Chawla and Desai Ltd. and coordination with various agencies connected with the post-Offer activity such as Carrie Maxwell to the Issue, Bankers to the Issue, Grover-Loke Ltd., SCSBs including responsibility for underwriting arrangements, as applicable.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Parrish-Palmer Ltd.</w:t>
            </w:r>
            <w:r>
              <w:rPr>
                <w:rStyle w:val="None"/>
                <w:spacing w:val="-5"/>
                <w:sz w:val="18"/>
                <w:szCs w:val="18"/>
                <w:shd w:val="nil" w:color="auto" w:fill="auto"/>
                <w:rtl w:val="0"/>
                <w:lang w:val="en-US"/>
              </w:rPr>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Edwards-Ramirez Ltd.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 Wing A, Building No 3 Inspire BKC, Vasa and Sons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6992" w:firstLine="0"/>
      </w:pPr>
      <w:r>
        <w:rPr>
          <w:rStyle w:val="Hyperlink.4"/>
          <w:rtl w:val="0"/>
          <w:lang w:val="en-US"/>
        </w:rPr>
        <w:t>Quincy Tata, Frank Fletcher 400 051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firstLine="0"/>
      </w:pPr>
      <w:r>
        <w:rPr>
          <w:rStyle w:val="Hyperlink.4"/>
          <w:rtl w:val="0"/>
          <w:lang w:val="en-US"/>
        </w:rPr>
        <w:t>Francis-Morgan Ltd., India</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lang w:val="en-US"/>
        </w:rPr>
        <w:t>Telephone: + +91 8445662585</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 girikthakkar@example.com, ronithmaharaj@example.com, and kellycampbell@example.com</w:t>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None"/>
          <w:spacing w:val="0"/>
          <w:rtl w:val="0"/>
          <w:lang w:val="en-US"/>
        </w:rPr>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Prakash</w:t>
      </w:r>
      <w:r>
        <w:rPr>
          <w:rStyle w:val="None"/>
          <w:spacing w:val="-5"/>
          <w:sz w:val="20"/>
          <w:szCs w:val="20"/>
          <w:rtl w:val="0"/>
        </w:rPr>
        <w:t xml:space="preserve"> </w:t>
      </w:r>
      <w:r>
        <w:rPr>
          <w:rStyle w:val="Hyperlink.10"/>
          <w:rtl w:val="0"/>
          <w:lang w:val="it-IT"/>
        </w:rPr>
        <w:t>Boricha</w:t>
      </w:r>
    </w:p>
    <w:p>
      <w:pPr>
        <w:pStyle w:val="Body"/>
        <w:spacing w:before="1"/>
        <w:ind w:left="88" w:firstLine="0"/>
        <w:rPr>
          <w:rStyle w:val="Hyperlink.9"/>
        </w:rPr>
      </w:pPr>
      <w:r>
        <w:rPr>
          <w:rStyle w:val="None"/>
          <w:b w:val="1"/>
          <w:bCs w:val="1"/>
          <w:sz w:val="20"/>
          <w:szCs w:val="20"/>
          <w:rtl w:val="0"/>
        </w:rPr>
        <w:t>SEBI Registration Number: INZ+91 7438989805</w:t>
      </w:r>
      <w:r>
        <w:rPr>
          <w:rStyle w:val="None"/>
          <w:b w:val="1"/>
          <w:bCs w:val="1"/>
          <w:spacing w:val="-7"/>
          <w:sz w:val="20"/>
          <w:szCs w:val="20"/>
          <w:rtl w:val="0"/>
        </w:rPr>
      </w:r>
      <w:r>
        <w:rPr>
          <w:rStyle w:val="None"/>
          <w:b w:val="1"/>
          <w:bCs w:val="1"/>
          <w:sz w:val="20"/>
          <w:szCs w:val="20"/>
          <w:rtl w:val="0"/>
          <w:lang w:val="de-DE"/>
        </w:rPr>
      </w:r>
      <w:r>
        <w:rPr>
          <w:rStyle w:val="None"/>
          <w:b w:val="1"/>
          <w:bCs w:val="1"/>
          <w:spacing w:val="-7"/>
          <w:sz w:val="20"/>
          <w:szCs w:val="20"/>
          <w:rtl w:val="0"/>
        </w:rPr>
      </w:r>
      <w:r>
        <w:rPr>
          <w:rStyle w:val="None"/>
          <w:b w:val="1"/>
          <w:bCs w:val="1"/>
          <w:sz w:val="20"/>
          <w:szCs w:val="20"/>
          <w:rtl w:val="0"/>
          <w:lang w:val="en-US"/>
        </w:rPr>
      </w:r>
      <w:r>
        <w:rPr>
          <w:rStyle w:val="None"/>
          <w:b w:val="1"/>
          <w:bCs w:val="1"/>
          <w:spacing w:val="-3"/>
          <w:sz w:val="20"/>
          <w:szCs w:val="20"/>
          <w:rtl w:val="0"/>
        </w:rPr>
      </w:r>
      <w:r>
        <w:rPr>
          <w:rStyle w:val="Hyperlink.10"/>
          <w:rtl w:val="0"/>
        </w:rPr>
      </w:r>
    </w:p>
    <w:p>
      <w:pPr>
        <w:pStyle w:val="Body Text"/>
        <w:spacing w:before="1"/>
      </w:pPr>
    </w:p>
    <w:p>
      <w:pPr>
        <w:pStyle w:val="Body"/>
        <w:ind w:left="88" w:right="7684" w:firstLine="0"/>
        <w:rPr>
          <w:rStyle w:val="Hyperlink.9"/>
        </w:rPr>
      </w:pPr>
      <w:r>
        <w:rPr>
          <w:rStyle w:val="None"/>
          <w:b w:val="1"/>
          <w:bCs w:val="1"/>
          <w:sz w:val="20"/>
          <w:szCs w:val="20"/>
          <w:rtl w:val="0"/>
          <w:lang w:val="en-US"/>
        </w:rPr>
        <w:t>ICICI Securities Limited ICICI Venture House Appasaheb Marathe Marg Prabhadevi, 105 Ray Squares, Ambattur, Colorado - 647525, India – 294 Michael Ports, Laraside, Punjab - 467866, India</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88" w:right="7485" w:firstLine="0"/>
        <w:rPr>
          <w:rStyle w:val="Hyperlink.9"/>
        </w:rPr>
      </w:pPr>
      <w:r>
        <w:rPr>
          <w:rStyle w:val="None"/>
          <w:b w:val="1"/>
          <w:bCs w:val="1"/>
          <w:sz w:val="20"/>
          <w:szCs w:val="20"/>
          <w:rtl w:val="0"/>
          <w:lang w:val="en-US"/>
        </w:rPr>
        <w:t>Telephone: +91 7667779376 Email: josephanderson@example.com Website: www.icicisecurities.com</w:t>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lang w:val="en-US"/>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lang w:val="it-IT"/>
        </w:rPr>
      </w:r>
      <w:r>
        <w:rPr/>
      </w:r>
    </w:p>
    <w:p>
      <w:pPr>
        <w:pStyle w:val="Body"/>
        <w:spacing w:line="229" w:lineRule="exact"/>
        <w:ind w:left="88" w:firstLine="0"/>
        <w:rPr>
          <w:rStyle w:val="Hyperlink.9"/>
        </w:rPr>
      </w:pPr>
      <w:r>
        <w:rPr>
          <w:rStyle w:val="None"/>
          <w:b w:val="1"/>
          <w:bCs w:val="1"/>
          <w:sz w:val="20"/>
          <w:szCs w:val="20"/>
          <w:rtl w:val="0"/>
        </w:rPr>
        <w:t>Investor grievance E-mail: edhithaborah@example.com</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rPr>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lang w:val="it-IT"/>
        </w:rPr>
      </w:r>
      <w:r>
        <w:rPr/>
      </w:r>
    </w:p>
    <w:p>
      <w:pPr>
        <w:pStyle w:val="Body"/>
        <w:ind w:left="88" w:firstLine="0"/>
        <w:rPr>
          <w:rStyle w:val="Hyperlink.9"/>
        </w:rPr>
      </w:pPr>
      <w:r>
        <w:rPr>
          <w:rStyle w:val="None"/>
          <w:b w:val="1"/>
          <w:bCs w:val="1"/>
          <w:sz w:val="20"/>
          <w:szCs w:val="20"/>
          <w:rtl w:val="0"/>
          <w:lang w:val="en-US"/>
        </w:rPr>
        <w:t>Contact person: Rachita Thakkar</w:t>
      </w:r>
      <w:r>
        <w:rPr>
          <w:rStyle w:val="None"/>
          <w:b w:val="1"/>
          <w:bCs w:val="1"/>
          <w:spacing w:val="-7"/>
          <w:sz w:val="20"/>
          <w:szCs w:val="20"/>
          <w:rtl w:val="0"/>
        </w:rPr>
      </w:r>
      <w:r>
        <w:rPr>
          <w:rStyle w:val="None"/>
          <w:b w:val="1"/>
          <w:bCs w:val="1"/>
          <w:sz w:val="20"/>
          <w:szCs w:val="20"/>
          <w:rtl w:val="0"/>
          <w:lang w:val="it-IT"/>
        </w:rPr>
      </w:r>
      <w:r>
        <w:rPr>
          <w:rStyle w:val="Hyperlink.9"/>
          <w:rtl w:val="0"/>
        </w:rPr>
      </w:r>
      <w:r>
        <w:rPr>
          <w:rStyle w:val="None"/>
          <w:spacing w:val="-7"/>
          <w:sz w:val="20"/>
          <w:szCs w:val="20"/>
          <w:rtl w:val="0"/>
        </w:rPr>
      </w:r>
      <w:r>
        <w:rPr>
          <w:rStyle w:val="Hyperlink.9"/>
          <w:rtl w:val="0"/>
        </w:rPr>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 registration no.: INM+91 7924765563</w:t>
      </w:r>
      <w:r>
        <w:rPr>
          <w:rStyle w:val="None"/>
          <w:b w:val="1"/>
          <w:bCs w:val="1"/>
          <w:spacing w:val="-7"/>
          <w:sz w:val="20"/>
          <w:szCs w:val="20"/>
          <w:rtl w:val="0"/>
        </w:rPr>
      </w:r>
      <w:r>
        <w:rPr>
          <w:rStyle w:val="None"/>
          <w:b w:val="1"/>
          <w:bCs w:val="1"/>
          <w:sz w:val="20"/>
          <w:szCs w:val="20"/>
          <w:rtl w:val="0"/>
          <w:lang w:val="fr-FR"/>
        </w:rPr>
      </w:r>
      <w:r>
        <w:rPr>
          <w:rStyle w:val="None"/>
          <w:b w:val="1"/>
          <w:bCs w:val="1"/>
          <w:spacing w:val="-5"/>
          <w:sz w:val="20"/>
          <w:szCs w:val="20"/>
          <w:rtl w:val="0"/>
        </w:rPr>
      </w:r>
      <w:r>
        <w:rPr>
          <w:rStyle w:val="None"/>
          <w:b w:val="1"/>
          <w:bCs w:val="1"/>
          <w:sz w:val="20"/>
          <w:szCs w:val="20"/>
          <w:rtl w:val="0"/>
          <w:lang w:val="it-IT"/>
        </w:rPr>
      </w:r>
      <w:r>
        <w:rPr>
          <w:rStyle w:val="Hyperlink.9"/>
          <w:rtl w:val="0"/>
        </w:rPr>
      </w:r>
      <w:r>
        <w:rPr>
          <w:rStyle w:val="None"/>
          <w:spacing w:val="-5"/>
          <w:sz w:val="20"/>
          <w:szCs w:val="20"/>
          <w:rtl w:val="0"/>
        </w:rPr>
      </w:r>
      <w:r>
        <w:rPr>
          <w:rStyle w:val="Hyperlink.10"/>
          <w:rtl w:val="0"/>
        </w:rPr>
      </w:r>
    </w:p>
    <w:p>
      <w:pPr>
        <w:pStyle w:val="Heading 3"/>
        <w:spacing w:before="31" w:line="430" w:lineRule="atLeast"/>
        <w:ind w:right="6005"/>
      </w:pPr>
      <w:r>
        <w:rPr>
          <w:rStyle w:val="Hyperlink.4"/>
          <w:rtl w:val="0"/>
          <w:lang w:val="it-IT"/>
        </w:rPr>
        <w:t>Dube, Garg and Nazareth Ltd. to our Company as to Indian Law Trilegal</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it-IT"/>
        </w:rPr>
      </w:r>
      <w:r>
        <w:rPr>
          <w:rStyle w:val="None"/>
          <w:spacing w:val="0"/>
          <w:rtl w:val="0"/>
        </w:rPr>
      </w:r>
      <w:r>
        <w:rPr>
          <w:rStyle w:val="Hyperlink.4"/>
          <w:rtl w:val="0"/>
          <w:lang w:val="en-US"/>
        </w:rPr>
      </w:r>
      <w:r>
        <w:rPr>
          <w:rStyle w:val="Hyperlink.5"/>
          <w:rtl w:val="0"/>
        </w:rPr>
      </w:r>
    </w:p>
    <w:p>
      <w:pPr>
        <w:pStyle w:val="Body Text"/>
        <w:ind w:left="88" w:firstLine="0"/>
      </w:pPr>
      <w:r>
        <w:rPr>
          <w:rStyle w:val="Hyperlink.4"/>
          <w:rtl w:val="0"/>
          <w:lang w:val="en-US"/>
        </w:rPr>
        <w:t>Bumb Inc Ltd.</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1"/>
        <w:ind w:left="88" w:firstLine="0"/>
      </w:pPr>
      <w:r>
        <w:rPr>
          <w:rStyle w:val="Hyperlink.4"/>
          <w:rtl w:val="0"/>
          <w:lang w:val="en-US"/>
        </w:rPr>
        <w:t>10th Floor, Clark, Armstrong and Montgomery Ltd.</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6503" w:firstLine="0"/>
      </w:pPr>
      <w:r>
        <w:rPr>
          <w:rStyle w:val="Hyperlink.4"/>
          <w:rtl w:val="0"/>
          <w:lang w:val="en-US"/>
        </w:rPr>
        <w:t>Senapati Robert Sullivan, Mann-Mittal Ltd. (West) 105 Ray Squares, Ambattur, Colorado - 647525, India – 400 013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Francis-Morgan Ltd., India</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ipo@trilegal.com</w:t>
      </w:r>
      <w:r>
        <w:rPr/>
        <w:fldChar w:fldCharType="end" w:fldLock="0"/>
      </w:r>
    </w:p>
    <w:p>
      <w:pPr>
        <w:pStyle w:val="Body"/>
        <w:spacing w:before="1"/>
        <w:ind w:left="88" w:firstLine="0"/>
        <w:rPr>
          <w:rStyle w:val="Hyperlink.9"/>
        </w:rPr>
      </w:pPr>
      <w:r>
        <w:rPr>
          <w:rStyle w:val="None"/>
          <w:b w:val="1"/>
          <w:bCs w:val="1"/>
          <w:sz w:val="20"/>
          <w:szCs w:val="20"/>
          <w:rtl w:val="0"/>
          <w:lang w:val="en-US"/>
        </w:rPr>
        <w:t>Telephone: +91 7398340369</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Carrie Maxwell to the Veer Bir</w:t>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5"/>
          <w:rtl w:val="0"/>
          <w:lang w:val="en-US"/>
        </w:rPr>
      </w:r>
    </w:p>
    <w:p>
      <w:pPr>
        <w:pStyle w:val="Body"/>
        <w:spacing w:before="199"/>
        <w:ind w:left="88" w:right="6503" w:firstLine="0"/>
        <w:rPr>
          <w:rStyle w:val="Hyperlink.9"/>
        </w:rPr>
      </w:pPr>
      <w:r>
        <w:rPr>
          <w:rStyle w:val="None"/>
          <w:b w:val="1"/>
          <w:bCs w:val="1"/>
          <w:sz w:val="20"/>
          <w:szCs w:val="20"/>
          <w:rtl w:val="0"/>
          <w:lang w:val="en-US"/>
        </w:rPr>
        <w:t>Harris-Lawson Ltd. (Formerly Link Intime India Private Limited) Anthony Gonzales, Embassy 247</w:t>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de-DE"/>
        </w:rPr>
      </w:r>
      <w:r>
        <w:rPr>
          <w:rStyle w:val="None"/>
          <w:b w:val="1"/>
          <w:bCs w:val="1"/>
          <w:i w:val="1"/>
          <w:iCs w:val="1"/>
          <w:spacing w:val="-9"/>
          <w:sz w:val="20"/>
          <w:szCs w:val="20"/>
          <w:rtl w:val="0"/>
        </w:rPr>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r>
      <w:r>
        <w:rPr>
          <w:rStyle w:val="Hyperlink.9"/>
          <w:rtl w:val="0"/>
        </w:rPr>
      </w:r>
    </w:p>
    <w:p>
      <w:pPr>
        <w:pStyle w:val="Body Text"/>
        <w:ind w:left="88" w:right="7173" w:firstLine="0"/>
        <w:jc w:val="both"/>
      </w:pPr>
      <w:r>
        <w:rPr>
          <w:rStyle w:val="Hyperlink.4"/>
          <w:rtl w:val="0"/>
          <w:lang w:val="en-US"/>
        </w:rPr>
        <w:t>1st Floor, L B S Marg, Jacob Hoffman (West) 105 Ray Squares, Ambattur, Colorado - 647525, India 400083, (Maharashtra), Flores, Travis and Reed Ltd. 81081 14949</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b w:val="1"/>
          <w:bCs w:val="1"/>
          <w:vertAlign w:val="baseline"/>
          <w:rtl w:val="0"/>
          <w:lang w:val="en-US"/>
        </w:rPr>
      </w:r>
      <w:r>
        <w:rPr>
          <w:rStyle w:val="None"/>
          <w:vertAlign w:val="baseline"/>
          <w:rtl w:val="0"/>
          <w:lang w:val="en-US"/>
        </w:rPr>
      </w:r>
    </w:p>
    <w:p>
      <w:pPr>
        <w:pStyle w:val="Body Text"/>
        <w:spacing w:before="1"/>
        <w:ind w:left="88" w:firstLine="0"/>
      </w:pPr>
      <w:r>
        <w:rPr>
          <w:rStyle w:val="None"/>
          <w:b w:val="1"/>
          <w:bCs w:val="1"/>
          <w:rtl w:val="0"/>
          <w:lang w:val="en-US"/>
        </w:rPr>
        <w:t>E-mail: bryancole@example.com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w:spacing w:line="229" w:lineRule="exact"/>
        <w:ind w:left="88" w:firstLine="0"/>
        <w:rPr>
          <w:rStyle w:val="Hyperlink.9"/>
        </w:rPr>
      </w:pPr>
      <w:r>
        <w:rPr>
          <w:rStyle w:val="None"/>
          <w:b w:val="1"/>
          <w:bCs w:val="1"/>
          <w:sz w:val="20"/>
          <w:szCs w:val="20"/>
          <w:rtl w:val="0"/>
        </w:rPr>
        <w:t>Investor grievance E-mail: bryancole@example.com</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rPr>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lang w:val="de-DE"/>
        </w:rPr>
      </w:r>
      <w:r>
        <w:rPr/>
      </w:r>
    </w:p>
    <w:p>
      <w:pPr>
        <w:pStyle w:val="Body"/>
        <w:ind w:left="88" w:right="6992" w:firstLine="0"/>
        <w:rPr>
          <w:rStyle w:val="Hyperlink.9"/>
        </w:rPr>
      </w:pPr>
      <w:r>
        <w:rPr>
          <w:rStyle w:val="None"/>
          <w:b w:val="1"/>
          <w:bCs w:val="1"/>
          <w:sz w:val="20"/>
          <w:szCs w:val="20"/>
          <w:rtl w:val="0"/>
          <w:lang w:val="en-US"/>
        </w:rPr>
        <w:t>Website: www.in.mpms.mufg.com Contact Person: Jennifer Estes SEBI Registration No.: Bedi LLC Ltd.</w:t>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de-DE"/>
        </w:rPr>
      </w:r>
      <w:r>
        <w:rPr>
          <w:rStyle w:val="None"/>
          <w:b w:val="1"/>
          <w:bCs w:val="1"/>
          <w:spacing w:val="-11"/>
          <w:sz w:val="20"/>
          <w:szCs w:val="20"/>
          <w:rtl w:val="0"/>
        </w:rPr>
      </w:r>
      <w:r>
        <w:rPr>
          <w:rStyle w:val="None"/>
          <w:b w:val="1"/>
          <w:bCs w:val="1"/>
          <w:sz w:val="20"/>
          <w:szCs w:val="20"/>
          <w:rtl w:val="0"/>
          <w:lang w:val="it-IT"/>
        </w:rPr>
      </w:r>
      <w:r>
        <w:rPr>
          <w:rStyle w:val="None"/>
          <w:b w:val="1"/>
          <w:bCs w:val="1"/>
          <w:spacing w:val="-11"/>
          <w:sz w:val="20"/>
          <w:szCs w:val="20"/>
          <w:rtl w:val="0"/>
        </w:rPr>
      </w:r>
      <w:r>
        <w:rPr>
          <w:rStyle w:val="Hyperlink.9"/>
          <w:rtl w:val="0"/>
        </w:rPr>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 JJIGB4190J</w:t>
      </w:r>
      <w:r>
        <w:rPr>
          <w:rStyle w:val="None"/>
          <w:b w:val="1"/>
          <w:bCs w:val="1"/>
          <w:spacing w:val="0"/>
          <w:rtl w:val="0"/>
          <w:lang w:val="en-US"/>
        </w:rPr>
      </w:r>
      <w:r>
        <w:rPr>
          <w:rStyle w:val="Hyperlink.5"/>
          <w:rtl w:val="0"/>
          <w:lang w:val="en-US"/>
        </w:rPr>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Bankers to Munshi-Gupta Ltd.</w:t>
      </w:r>
      <w:r>
        <w:rPr>
          <w:rStyle w:val="None"/>
          <w:b w:val="1"/>
          <w:bCs w:val="1"/>
          <w:i w:val="1"/>
          <w:iCs w:val="1"/>
          <w:sz w:val="20"/>
          <w:szCs w:val="20"/>
          <w:rtl w:val="0"/>
          <w:lang w:val="en-US"/>
        </w:rPr>
      </w:r>
      <w:r>
        <w:rPr>
          <w:rStyle w:val="None"/>
          <w:b w:val="1"/>
          <w:bCs w:val="1"/>
          <w:i w:val="1"/>
          <w:iCs w:val="1"/>
          <w:spacing w:val="-13"/>
          <w:sz w:val="20"/>
          <w:szCs w:val="20"/>
          <w:rtl w:val="0"/>
        </w:rPr>
      </w:r>
      <w:r>
        <w:rPr>
          <w:rStyle w:val="None"/>
          <w:b w:val="1"/>
          <w:bCs w:val="1"/>
          <w:i w:val="1"/>
          <w:iCs w:val="1"/>
          <w:sz w:val="20"/>
          <w:szCs w:val="20"/>
          <w:rtl w:val="0"/>
          <w:lang w:val="fr-FR"/>
        </w:rPr>
      </w:r>
      <w:r>
        <w:rPr>
          <w:rStyle w:val="None"/>
          <w:b w:val="1"/>
          <w:bCs w:val="1"/>
          <w:i w:val="1"/>
          <w:iCs w:val="1"/>
          <w:spacing w:val="-11"/>
          <w:sz w:val="20"/>
          <w:szCs w:val="20"/>
          <w:rtl w:val="0"/>
        </w:rPr>
      </w:r>
      <w:r>
        <w:rPr>
          <w:rStyle w:val="None"/>
          <w:b w:val="1"/>
          <w:bCs w:val="1"/>
          <w:i w:val="1"/>
          <w:iCs w:val="1"/>
          <w:sz w:val="20"/>
          <w:szCs w:val="20"/>
          <w:rtl w:val="0"/>
          <w:lang w:val="de-DE"/>
        </w:rPr>
      </w:r>
      <w:r>
        <w:rPr>
          <w:rStyle w:val="None"/>
          <w:b w:val="1"/>
          <w:bCs w:val="1"/>
          <w:sz w:val="20"/>
          <w:szCs w:val="20"/>
          <w:rtl w:val="0"/>
          <w:lang w:val="nl-NL"/>
        </w:rPr>
      </w:r>
    </w:p>
    <w:p>
      <w:pPr>
        <w:pStyle w:val="Body Text"/>
        <w:ind w:left="88" w:right="6005" w:firstLine="0"/>
      </w:pPr>
      <w:r>
        <w:rPr>
          <w:rStyle w:val="Hyperlink.4"/>
          <w:rtl w:val="0"/>
          <w:lang w:val="en-US"/>
        </w:rPr>
        <w:t>Jimenez-Davis Ltd., Varma-Sibal Ltd. – Lodha I Think Techno Campus, O-3 Level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5111" w:firstLine="0"/>
      </w:pPr>
      <w:r>
        <w:rPr>
          <w:rStyle w:val="Hyperlink.4"/>
          <w:rtl w:val="0"/>
          <w:lang w:val="en-US"/>
        </w:rPr>
        <w:t>Next to Kanjurmarg Railway Station, Charan Hayer (East) 105 Ray Squares, Ambattur, Colorado - 647525, India – 859 Levy Forge, North Juanfort, Ohio - 624565,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ind w:left="88" w:firstLine="0"/>
      </w:pPr>
      <w:r>
        <w:rPr>
          <w:rStyle w:val="None"/>
          <w:b w:val="1"/>
          <w:bCs w:val="1"/>
          <w:rtl w:val="0"/>
          <w:lang w:val="en-US"/>
        </w:rPr>
        <w:t>Telephone: +91 8553210608, +91 9656522106 and +91 9699987374</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Email: ambertaylor@example.com, hollythomas@example.com meeraprakash@example.com, lisacarr@example.com, and angelgordon@example.com Website: www.hdfcbank.com</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b w:val="1"/>
          <w:bCs w:val="1"/>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p>
    <w:p>
      <w:pPr>
        <w:pStyle w:val="Body Text"/>
        <w:spacing w:line="229" w:lineRule="exact"/>
        <w:ind w:left="88" w:firstLine="0"/>
      </w:pPr>
      <w:r>
        <w:rPr>
          <w:rStyle w:val="None"/>
          <w:b w:val="1"/>
          <w:bCs w:val="1"/>
          <w:rtl w:val="0"/>
          <w:lang w:val="en-US"/>
        </w:rPr>
        <w:t>Contact Person: Eiravati Gaba Sachin Gawade/ Pravin Teli/ Siddharth Kelly Hernandez</w:t>
      </w:r>
      <w:r>
        <w:rPr>
          <w:rStyle w:val="None"/>
          <w:b w:val="1"/>
          <w:bCs w:val="1"/>
          <w:spacing w:val="0"/>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 Registration No: INBI+91 9479708607</w:t>
      </w:r>
      <w:r>
        <w:rPr>
          <w:rStyle w:val="None"/>
          <w:b w:val="1"/>
          <w:bCs w:val="1"/>
          <w:spacing w:val="-7"/>
          <w:sz w:val="20"/>
          <w:szCs w:val="20"/>
          <w:rtl w:val="0"/>
        </w:rPr>
      </w:r>
      <w:r>
        <w:rPr>
          <w:rStyle w:val="None"/>
          <w:b w:val="1"/>
          <w:bCs w:val="1"/>
          <w:sz w:val="20"/>
          <w:szCs w:val="20"/>
          <w:rtl w:val="0"/>
          <w:lang w:val="de-DE"/>
        </w:rPr>
      </w:r>
      <w:r>
        <w:rPr>
          <w:rStyle w:val="None"/>
          <w:b w:val="1"/>
          <w:bCs w:val="1"/>
          <w:spacing w:val="-7"/>
          <w:sz w:val="20"/>
          <w:szCs w:val="20"/>
          <w:rtl w:val="0"/>
        </w:rPr>
      </w:r>
      <w:r>
        <w:rPr>
          <w:rStyle w:val="None"/>
          <w:b w:val="1"/>
          <w:bCs w:val="1"/>
          <w:sz w:val="20"/>
          <w:szCs w:val="20"/>
          <w:rtl w:val="0"/>
        </w:rPr>
      </w:r>
      <w:r>
        <w:rPr>
          <w:rStyle w:val="None"/>
          <w:b w:val="1"/>
          <w:bCs w:val="1"/>
          <w:spacing w:val="-3"/>
          <w:sz w:val="20"/>
          <w:szCs w:val="20"/>
          <w:rtl w:val="0"/>
        </w:rPr>
      </w:r>
      <w:r>
        <w:rPr>
          <w:rStyle w:val="Hyperlink.10"/>
          <w:rtl w:val="0"/>
        </w:rPr>
      </w:r>
    </w:p>
    <w:p>
      <w:pPr>
        <w:pStyle w:val="Body Text"/>
        <w:spacing w:before="1"/>
        <w:ind w:left="88" w:firstLine="0"/>
      </w:pPr>
      <w:r>
        <w:rPr>
          <w:rStyle w:val="None"/>
          <w:b w:val="1"/>
          <w:bCs w:val="1"/>
          <w:rtl w:val="0"/>
          <w:lang w:val="en-US"/>
        </w:rPr>
        <w:t>CIN: EBRUZ8834L</w:t>
      </w:r>
      <w:r>
        <w:rPr>
          <w:rStyle w:val="None"/>
          <w:b w:val="1"/>
          <w:bCs w:val="1"/>
          <w:spacing w:val="0"/>
          <w:rtl w:val="0"/>
          <w:lang w:val="en-US"/>
        </w:rPr>
      </w:r>
      <w:r>
        <w:rPr>
          <w:rStyle w:val="Hyperlink.5"/>
          <w:rtl w:val="0"/>
          <w:lang w:val="en-US"/>
        </w:rPr>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ICICI Stevenson, Evans and Rogers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Hart, Wells and Smith Ltd.</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right="7551" w:firstLine="0"/>
        <w:rPr>
          <w:rStyle w:val="Hyperlink.9"/>
        </w:rPr>
      </w:pPr>
      <w:r>
        <w:rPr>
          <w:rStyle w:val="Hyperlink.9"/>
          <w:rtl w:val="0"/>
        </w:rPr>
        <w:t>176 Som, Lake Brett, Hawaii - 19870, India.com Website: www.icicibank.com Contact Person: Rodriguez, Butler and Parker Ltd.</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2"/>
        <w:ind w:left="88" w:firstLine="0"/>
        <w:rPr>
          <w:rStyle w:val="Hyperlink.9"/>
        </w:rPr>
      </w:pPr>
      <w:r>
        <w:rPr>
          <w:rStyle w:val="None"/>
          <w:b w:val="1"/>
          <w:bCs w:val="1"/>
          <w:sz w:val="20"/>
          <w:szCs w:val="20"/>
          <w:rtl w:val="0"/>
        </w:rPr>
        <w:t>SEBI Registration No: INBI+91 8589915144</w:t>
      </w:r>
      <w:r>
        <w:rPr>
          <w:rStyle w:val="None"/>
          <w:b w:val="1"/>
          <w:bCs w:val="1"/>
          <w:spacing w:val="-7"/>
          <w:sz w:val="20"/>
          <w:szCs w:val="20"/>
          <w:rtl w:val="0"/>
        </w:rPr>
      </w:r>
      <w:r>
        <w:rPr>
          <w:rStyle w:val="None"/>
          <w:b w:val="1"/>
          <w:bCs w:val="1"/>
          <w:sz w:val="20"/>
          <w:szCs w:val="20"/>
          <w:rtl w:val="0"/>
          <w:lang w:val="de-DE"/>
        </w:rPr>
      </w:r>
      <w:r>
        <w:rPr>
          <w:rStyle w:val="None"/>
          <w:b w:val="1"/>
          <w:bCs w:val="1"/>
          <w:spacing w:val="-7"/>
          <w:sz w:val="20"/>
          <w:szCs w:val="20"/>
          <w:rtl w:val="0"/>
        </w:rPr>
      </w:r>
      <w:r>
        <w:rPr>
          <w:rStyle w:val="None"/>
          <w:b w:val="1"/>
          <w:bCs w:val="1"/>
          <w:sz w:val="20"/>
          <w:szCs w:val="20"/>
          <w:rtl w:val="0"/>
        </w:rPr>
      </w:r>
      <w:r>
        <w:rPr>
          <w:rStyle w:val="None"/>
          <w:b w:val="1"/>
          <w:bCs w:val="1"/>
          <w:spacing w:val="-3"/>
          <w:sz w:val="20"/>
          <w:szCs w:val="20"/>
          <w:rtl w:val="0"/>
        </w:rPr>
      </w:r>
      <w:r>
        <w:rPr>
          <w:rStyle w:val="Hyperlink.10"/>
          <w:rtl w:val="0"/>
        </w:rPr>
      </w:r>
    </w:p>
    <w:p>
      <w:pPr>
        <w:pStyle w:val="Body Text"/>
        <w:ind w:left="88" w:firstLine="0"/>
      </w:pPr>
      <w:r>
        <w:rPr>
          <w:rStyle w:val="None"/>
          <w:b w:val="1"/>
          <w:bCs w:val="1"/>
          <w:rtl w:val="0"/>
          <w:lang w:val="en-US"/>
        </w:rPr>
        <w:t>CIN: JRSRB6524I</w:t>
      </w:r>
      <w:r>
        <w:rPr>
          <w:rStyle w:val="None"/>
          <w:b w:val="1"/>
          <w:bCs w:val="1"/>
          <w:spacing w:val="0"/>
          <w:rtl w:val="0"/>
          <w:lang w:val="en-US"/>
        </w:rPr>
      </w:r>
      <w:r>
        <w:rPr>
          <w:rStyle w:val="Hyperlink.5"/>
          <w:rtl w:val="0"/>
          <w:lang w:val="en-US"/>
        </w:rPr>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Jimenez-Davis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Jimenez-Davis Ltd., Varma-Sibal Ltd. – Lodha I Think Techno Campus, O-3 Level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5111" w:firstLine="0"/>
      </w:pPr>
      <w:r>
        <w:rPr>
          <w:rStyle w:val="Hyperlink.4"/>
          <w:rtl w:val="0"/>
          <w:lang w:val="en-US"/>
        </w:rPr>
        <w:t>Next to Kanjurmarg Railway Station, Charan Hayer (East) 105 Ray Squares, Ambattur, Colorado - 647525, India – 859 Levy Forge, North Juanfort, Ohio - 624565,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firstLine="0"/>
      </w:pPr>
      <w:r>
        <w:rPr>
          <w:rStyle w:val="None"/>
          <w:b w:val="1"/>
          <w:bCs w:val="1"/>
          <w:rtl w:val="0"/>
          <w:lang w:val="en-US"/>
        </w:rPr>
        <w:t>Telephone: +91 8553210608, +91 9656522106 and +91 9699987374</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Email: ambertaylor@example.com, hollythomas@example.com meeraprakash@example.com, lisacarr@example.com, and angelgordon@example.com Website: www.hdfcbank.com</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b w:val="1"/>
          <w:bCs w:val="1"/>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p>
    <w:p>
      <w:pPr>
        <w:pStyle w:val="Body Text"/>
        <w:spacing w:line="229" w:lineRule="exact"/>
        <w:ind w:left="88" w:firstLine="0"/>
      </w:pPr>
      <w:r>
        <w:rPr>
          <w:rStyle w:val="None"/>
          <w:b w:val="1"/>
          <w:bCs w:val="1"/>
          <w:rtl w:val="0"/>
          <w:lang w:val="en-US"/>
        </w:rPr>
        <w:t>Contact Person: Eiravati Gaba Sachin Gawade/ Pravin Teli/ Siddharth Kelly Hernandez</w:t>
      </w:r>
      <w:r>
        <w:rPr>
          <w:rStyle w:val="None"/>
          <w:b w:val="1"/>
          <w:bCs w:val="1"/>
          <w:spacing w:val="0"/>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 Registration No: INBI+91 9479708607</w:t>
      </w:r>
      <w:r>
        <w:rPr>
          <w:rStyle w:val="None"/>
          <w:b w:val="1"/>
          <w:bCs w:val="1"/>
          <w:spacing w:val="-7"/>
          <w:sz w:val="20"/>
          <w:szCs w:val="20"/>
          <w:rtl w:val="0"/>
        </w:rPr>
      </w:r>
      <w:r>
        <w:rPr>
          <w:rStyle w:val="None"/>
          <w:b w:val="1"/>
          <w:bCs w:val="1"/>
          <w:sz w:val="20"/>
          <w:szCs w:val="20"/>
          <w:rtl w:val="0"/>
          <w:lang w:val="de-DE"/>
        </w:rPr>
      </w:r>
      <w:r>
        <w:rPr>
          <w:rStyle w:val="None"/>
          <w:b w:val="1"/>
          <w:bCs w:val="1"/>
          <w:spacing w:val="-7"/>
          <w:sz w:val="20"/>
          <w:szCs w:val="20"/>
          <w:rtl w:val="0"/>
        </w:rPr>
      </w:r>
      <w:r>
        <w:rPr>
          <w:rStyle w:val="None"/>
          <w:b w:val="1"/>
          <w:bCs w:val="1"/>
          <w:sz w:val="20"/>
          <w:szCs w:val="20"/>
          <w:rtl w:val="0"/>
        </w:rPr>
      </w:r>
      <w:r>
        <w:rPr>
          <w:rStyle w:val="None"/>
          <w:b w:val="1"/>
          <w:bCs w:val="1"/>
          <w:spacing w:val="-3"/>
          <w:sz w:val="20"/>
          <w:szCs w:val="20"/>
          <w:rtl w:val="0"/>
        </w:rPr>
      </w:r>
      <w:r>
        <w:rPr>
          <w:rStyle w:val="Hyperlink.10"/>
          <w:rtl w:val="0"/>
        </w:rPr>
      </w:r>
    </w:p>
    <w:p>
      <w:pPr>
        <w:pStyle w:val="Body Text"/>
        <w:spacing w:before="1"/>
        <w:ind w:left="88" w:firstLine="0"/>
      </w:pPr>
      <w:r>
        <w:rPr>
          <w:rStyle w:val="None"/>
          <w:b w:val="1"/>
          <w:bCs w:val="1"/>
          <w:rtl w:val="0"/>
          <w:lang w:val="en-US"/>
        </w:rPr>
        <w:t>CIN: EBRUZ8834L</w:t>
      </w:r>
      <w:r>
        <w:rPr>
          <w:rStyle w:val="None"/>
          <w:b w:val="1"/>
          <w:bCs w:val="1"/>
          <w:spacing w:val="0"/>
          <w:rtl w:val="0"/>
          <w:lang w:val="en-US"/>
        </w:rPr>
      </w:r>
      <w:r>
        <w:rPr>
          <w:rStyle w:val="Hyperlink.5"/>
          <w:rtl w:val="0"/>
          <w:lang w:val="en-US"/>
        </w:rPr>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ICICI Stevenson, Evans and Rogers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Hart, Wells and Smith Ltd.</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ind w:left="88" w:right="7551" w:firstLine="0"/>
        <w:rPr>
          <w:rStyle w:val="Hyperlink.9"/>
        </w:rPr>
      </w:pPr>
      <w:r>
        <w:rPr>
          <w:rStyle w:val="Hyperlink.9"/>
          <w:rtl w:val="0"/>
        </w:rPr>
        <w:t>176 Som, Lake Brett, Hawaii - 19870, India.com Website: www.icicibank.com Contact Person: Rodriguez, Butler and Parker Ltd.</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1"/>
        <w:ind w:left="88" w:firstLine="0"/>
        <w:rPr>
          <w:rStyle w:val="Hyperlink.9"/>
        </w:rPr>
      </w:pPr>
      <w:r>
        <w:rPr>
          <w:rStyle w:val="None"/>
          <w:b w:val="1"/>
          <w:bCs w:val="1"/>
          <w:sz w:val="20"/>
          <w:szCs w:val="20"/>
          <w:rtl w:val="0"/>
        </w:rPr>
        <w:t>SEBI Registration No: INBI+91 8589915144</w:t>
      </w:r>
      <w:r>
        <w:rPr>
          <w:rStyle w:val="None"/>
          <w:b w:val="1"/>
          <w:bCs w:val="1"/>
          <w:spacing w:val="-7"/>
          <w:sz w:val="20"/>
          <w:szCs w:val="20"/>
          <w:rtl w:val="0"/>
        </w:rPr>
      </w:r>
      <w:r>
        <w:rPr>
          <w:rStyle w:val="None"/>
          <w:b w:val="1"/>
          <w:bCs w:val="1"/>
          <w:sz w:val="20"/>
          <w:szCs w:val="20"/>
          <w:rtl w:val="0"/>
          <w:lang w:val="de-DE"/>
        </w:rPr>
      </w:r>
      <w:r>
        <w:rPr>
          <w:rStyle w:val="None"/>
          <w:b w:val="1"/>
          <w:bCs w:val="1"/>
          <w:spacing w:val="-7"/>
          <w:sz w:val="20"/>
          <w:szCs w:val="20"/>
          <w:rtl w:val="0"/>
        </w:rPr>
      </w:r>
      <w:r>
        <w:rPr>
          <w:rStyle w:val="None"/>
          <w:b w:val="1"/>
          <w:bCs w:val="1"/>
          <w:sz w:val="20"/>
          <w:szCs w:val="20"/>
          <w:rtl w:val="0"/>
        </w:rPr>
      </w:r>
      <w:r>
        <w:rPr>
          <w:rStyle w:val="None"/>
          <w:b w:val="1"/>
          <w:bCs w:val="1"/>
          <w:spacing w:val="-3"/>
          <w:sz w:val="20"/>
          <w:szCs w:val="20"/>
          <w:rtl w:val="0"/>
        </w:rPr>
      </w:r>
      <w:r>
        <w:rPr>
          <w:rStyle w:val="Hyperlink.10"/>
          <w:rtl w:val="0"/>
        </w:rPr>
      </w:r>
    </w:p>
    <w:p>
      <w:pPr>
        <w:pStyle w:val="Body Text"/>
        <w:ind w:left="88" w:firstLine="0"/>
      </w:pPr>
      <w:r>
        <w:rPr>
          <w:rStyle w:val="None"/>
          <w:b w:val="1"/>
          <w:bCs w:val="1"/>
          <w:rtl w:val="0"/>
          <w:lang w:val="en-US"/>
        </w:rPr>
        <w:t>CIN: JRSRB6524I</w:t>
      </w:r>
      <w:r>
        <w:rPr>
          <w:rStyle w:val="None"/>
          <w:b w:val="1"/>
          <w:bCs w:val="1"/>
          <w:spacing w:val="0"/>
          <w:rtl w:val="0"/>
          <w:lang w:val="en-US"/>
        </w:rPr>
      </w:r>
      <w:r>
        <w:rPr>
          <w:rStyle w:val="Hyperlink.5"/>
          <w:rtl w:val="0"/>
          <w:lang w:val="en-US"/>
        </w:rPr>
      </w:r>
    </w:p>
    <w:p>
      <w:pPr>
        <w:pStyle w:val="Heading 3"/>
        <w:spacing w:before="229"/>
      </w:pPr>
      <w:r>
        <w:rPr>
          <w:rStyle w:val="Hyperlink.4"/>
          <w:rtl w:val="0"/>
        </w:rPr>
        <w:t>Jimenez-Davis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Jimenez-Davis Ltd., Varma-Sibal Ltd. – Lodha I Think Techno Campus, O-3 Level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
        <w:ind w:left="88" w:right="5111" w:firstLine="0"/>
      </w:pPr>
      <w:r>
        <w:rPr>
          <w:rStyle w:val="Hyperlink.4"/>
          <w:rtl w:val="0"/>
          <w:lang w:val="en-US"/>
        </w:rPr>
        <w:t>Next to Kanjurmarg Railway Station, Charan Hayer (East) 105 Ray Squares, Ambattur, Colorado - 647525, India – 859 Levy Forge, North Juanfort, Ohio - 624565,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line="229" w:lineRule="exact"/>
        <w:ind w:left="88" w:firstLine="0"/>
      </w:pPr>
      <w:r>
        <w:rPr>
          <w:rStyle w:val="None"/>
          <w:b w:val="1"/>
          <w:bCs w:val="1"/>
          <w:rtl w:val="0"/>
          <w:lang w:val="en-US"/>
        </w:rPr>
        <w:t>Telephone: +91 8553210608, +91 9656522106 and +91 9699987374</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Email: ambertaylor@example.com, hollythomas@example.com meeraprakash@example.com, lisacarr@example.com, and angelgordon@example.com Website: www.hdfcbank.com</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b w:val="1"/>
          <w:bCs w:val="1"/>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p>
    <w:p>
      <w:pPr>
        <w:pStyle w:val="Body Text"/>
        <w:ind w:left="88" w:firstLine="0"/>
      </w:pPr>
      <w:r>
        <w:rPr>
          <w:rStyle w:val="None"/>
          <w:b w:val="1"/>
          <w:bCs w:val="1"/>
          <w:rtl w:val="0"/>
          <w:lang w:val="en-US"/>
        </w:rPr>
        <w:t>Contact Person: Eiravati Gaba Sachin Gawade/ Pravin Teli/ Siddharth Kelly Hernandez</w:t>
      </w:r>
      <w:r>
        <w:rPr>
          <w:rStyle w:val="None"/>
          <w:b w:val="1"/>
          <w:bCs w:val="1"/>
          <w:spacing w:val="0"/>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 Registration No: INBI+91 9479708607</w:t>
      </w:r>
      <w:r>
        <w:rPr>
          <w:rStyle w:val="None"/>
          <w:b w:val="1"/>
          <w:bCs w:val="1"/>
          <w:spacing w:val="-7"/>
          <w:sz w:val="20"/>
          <w:szCs w:val="20"/>
          <w:rtl w:val="0"/>
        </w:rPr>
      </w:r>
      <w:r>
        <w:rPr>
          <w:rStyle w:val="None"/>
          <w:b w:val="1"/>
          <w:bCs w:val="1"/>
          <w:sz w:val="20"/>
          <w:szCs w:val="20"/>
          <w:rtl w:val="0"/>
          <w:lang w:val="de-DE"/>
        </w:rPr>
      </w:r>
      <w:r>
        <w:rPr>
          <w:rStyle w:val="None"/>
          <w:b w:val="1"/>
          <w:bCs w:val="1"/>
          <w:spacing w:val="-7"/>
          <w:sz w:val="20"/>
          <w:szCs w:val="20"/>
          <w:rtl w:val="0"/>
        </w:rPr>
      </w:r>
      <w:r>
        <w:rPr>
          <w:rStyle w:val="None"/>
          <w:b w:val="1"/>
          <w:bCs w:val="1"/>
          <w:sz w:val="20"/>
          <w:szCs w:val="20"/>
          <w:rtl w:val="0"/>
        </w:rPr>
      </w:r>
      <w:r>
        <w:rPr>
          <w:rStyle w:val="None"/>
          <w:b w:val="1"/>
          <w:bCs w:val="1"/>
          <w:spacing w:val="-3"/>
          <w:sz w:val="20"/>
          <w:szCs w:val="20"/>
          <w:rtl w:val="0"/>
        </w:rPr>
      </w:r>
      <w:r>
        <w:rPr>
          <w:rStyle w:val="Hyperlink.10"/>
          <w:rtl w:val="0"/>
        </w:rPr>
      </w:r>
    </w:p>
    <w:p>
      <w:pPr>
        <w:pStyle w:val="Body Text"/>
        <w:spacing w:line="229" w:lineRule="exact"/>
        <w:ind w:left="88" w:firstLine="0"/>
      </w:pPr>
      <w:r>
        <w:rPr>
          <w:rStyle w:val="None"/>
          <w:b w:val="1"/>
          <w:bCs w:val="1"/>
          <w:rtl w:val="0"/>
          <w:lang w:val="en-US"/>
        </w:rPr>
        <w:t>CIN: EBRUZ8834L</w:t>
      </w:r>
      <w:r>
        <w:rPr>
          <w:rStyle w:val="None"/>
          <w:b w:val="1"/>
          <w:bCs w:val="1"/>
          <w:spacing w:val="0"/>
          <w:rtl w:val="0"/>
          <w:lang w:val="en-US"/>
        </w:rPr>
      </w:r>
      <w:r>
        <w:rPr>
          <w:rStyle w:val="Hyperlink.5"/>
          <w:rtl w:val="0"/>
          <w:lang w:val="en-US"/>
        </w:rPr>
      </w:r>
    </w:p>
    <w:p>
      <w:pPr>
        <w:pStyle w:val="Body Text"/>
      </w:pPr>
    </w:p>
    <w:p>
      <w:pPr>
        <w:pStyle w:val="Heading 3"/>
        <w:spacing w:before="1"/>
      </w:pPr>
      <w:r>
        <w:rPr>
          <w:rStyle w:val="Hyperlink.4"/>
          <w:rtl w:val="0"/>
          <w:lang w:val="en-US"/>
        </w:rPr>
        <w:t>Choudhary and Sons Ltd.</w:t>
      </w:r>
      <w:r>
        <w:rPr>
          <w:rStyle w:val="None"/>
          <w:spacing w:val="0"/>
          <w:rtl w:val="0"/>
        </w:rPr>
      </w:r>
      <w:r>
        <w:rPr>
          <w:rStyle w:val="Hyperlink.5"/>
          <w:rtl w:val="0"/>
          <w:lang w:val="es-ES_tradnl"/>
        </w:rPr>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The list of David LLC Ltd. notified by SEBI for the Washington, Bernard and Ramirez Ltd. process is available at http://www.sebi.gov.in/sebiweb/other/OtherAction.do?doRecognised=yes, or at such other website as may be prescribed by SEBI from time to time. A list of Gomez, Ingram and Le Ltd. with which an ASBA Bidder (other than a Frye-Stevens Ltd. using the UPI Mechanism), not Bidding through Johal, Nair and Sridhar Ltd. or through Nancy Brown, RTA or Jani-Roy Ltd. may submit the Richard Glenn cum</w:t>
        <w:tab/>
        <w:t>Murthy-Sahota Ltd.,</w:t>
        <w:tab/>
        <w:t>is</w:t>
        <w:tab/>
        <w:t>available</w:t>
        <w:tab/>
        <w:t>at https://www.sebi.gov.in/sebiweb/other/OtherAction.do?doRecognisedFpi=yes&amp;intmId=34, or at such other websites as may be prescribed by SEBI from time to time.</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5"/>
          <w:rtl w:val="0"/>
          <w:lang w:val="en-US"/>
        </w:rPr>
      </w:r>
      <w:r>
        <w:rPr>
          <w:rStyle w:val="Hyperlink.4"/>
        </w:rPr>
      </w:r>
      <w:r>
        <w:rPr>
          <w:rStyle w:val="Hyperlink.5"/>
          <w:rtl w:val="0"/>
          <w:lang w:val="en-US"/>
        </w:rPr>
      </w:r>
      <w:r>
        <w:rPr>
          <w:rStyle w:val="Hyperlink.4"/>
        </w:rPr>
      </w:r>
      <w:r>
        <w:rPr>
          <w:rStyle w:val="None"/>
          <w:spacing w:val="0"/>
          <w:rtl w:val="0"/>
          <w:lang w:val="en-US"/>
        </w:rPr>
      </w:r>
      <w:r>
        <w:rPr>
          <w:rStyle w:val="Hyperlink.4"/>
        </w:rPr>
      </w:r>
      <w:r>
        <w:rPr>
          <w:rStyle w:val="Hyperlink.5"/>
          <w:rtl w:val="0"/>
          <w:lang w:val="en-US"/>
        </w:rPr>
      </w:r>
      <w:r>
        <w:rPr>
          <w:rStyle w:val="Hyperlink.4"/>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 the SEBI Clark, Bush and Stewart Ltd., Widisha Pillai may only apply through the David LLC Ltd. and mobile applications whose names appear on the website of the SEBI which may be updated from time to time. A list of David LLC Ltd. and mobile applications, using the UPI handles and which are live for applying in public issues using UPI mechanism is available on the website of SEBI at https://www.sebi.gov.in/sebiweb/other/OtherAction.do?doRecognisedFpi=yes&amp;intmId=40 and https://www.sebi.gov.in/sebiweb/other/OtherAction.do?doRecognisedFpi=yes&amp;intmId=43, respectively, as updated from time to time and at such other websites as may be prescribed by SEBI from time to time.</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 relation to Sampath, Trivedi and Pathak Ltd. (other than Sampath, Trivedi and Pathak Ltd. by Chahal, Sami and Balay Ltd. and RIIs) submitted to a member of the Raghavan, Rana and Pai Ltd., the list of branches of the SCSBs at Basak-Mani Ltd. named by the respective SCSBs to receive deposits of Peck, Pope and Hill Ltd. from the members of the Raghavan, Rana and Pai Ltd. is available on the website of the SEBI at www.sebi.gov.in/sebiweb/other/OtherAction.do?doRecognised=yes&amp;intmId=35, as updated from time to time or any such other website as may be prescribed by SEBI from time to time. For more information on such branches collecting Peck, Pope and Hill Ltd. from the Syndicate at Specified Locations, see the website of the SEBI at www.sebi.gov.in/sebiweb/other/OtherAction.do?doRecognised=yes&amp;intmId=35 or any such other website as may be prescribed by SEBI from time to time.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 can submit ASBA Forms in the Veer Bir using the stockbroker network of the stock exchange, i.e., through Horton, Taylor and Gilbert Ltd. at Harris PLC Ltd.. The list of the Registered Brokers eligible to accept Sathe-Kunda Ltd., including details such as postal address, telephone number and e-mail address, is provided on the websites of the Stock Exchanges at www.bseindia.com and www.nseindia.com, as updated from time to time.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Heading 4"/>
        <w:spacing w:before="201"/>
        <w:ind w:left="88" w:firstLine="0"/>
      </w:pPr>
      <w:r>
        <w:rPr>
          <w:rStyle w:val="Hyperlink.4"/>
          <w:rtl w:val="0"/>
          <w:lang w:val="en-US"/>
        </w:rPr>
        <w:t>Carrie Maxwell and Chandresh Wali</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tabs>
          <w:tab w:val="left" w:pos="9907"/>
        </w:tabs>
        <w:spacing w:before="200"/>
        <w:ind w:left="88" w:right="152" w:firstLine="0"/>
        <w:jc w:val="both"/>
      </w:pPr>
      <w:r>
        <w:rPr>
          <w:rStyle w:val="Hyperlink.4"/>
          <w:rtl w:val="0"/>
          <w:lang w:val="en-US"/>
        </w:rPr>
        <w:t>The list of the RTAs eligible to accept ASBA Forms at Kaul, Ben and Chaudhry Ltd., including details such as address, telephone number and e-mail address, is provided on the websites of the Stock Exchanges at www.bseindia.com/Static/Markets/PublicIssues/RtaDp.aspx?</w:t>
        <w:tab/>
        <w:t>and www.nseindia.com/products/content/equities/ipos/asba_procedures.htm, respectively, as updated from time to time.</w:t>
      </w:r>
      <w:r>
        <w:rPr>
          <w:rStyle w:val="Hyperlink.5"/>
        </w:rPr>
      </w:r>
      <w:r>
        <w:rPr>
          <w:rStyle w:val="Hyperlink.5"/>
        </w:rPr>
      </w:r>
      <w:r>
        <w:rPr>
          <w:rStyle w:val="Hyperlink.5"/>
        </w:rPr>
      </w:r>
      <w:r>
        <w:rPr>
          <w:rStyle w:val="Hyperlink.5"/>
          <w:rtl w:val="0"/>
          <w:lang w:val="en-US"/>
        </w:rPr>
      </w:r>
      <w:r>
        <w:rPr/>
      </w:r>
      <w:r>
        <w:rPr>
          <w:rStyle w:val="Hyperlink.4"/>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 list of the CDPs eligible to accept ASBA Forms at Dugar Group Ltd., including details such as their name John Maldonado, is provided on the websites of the Stock Exchanges at https://www.bseindia.com/Static/PublicIssues/RtaDp.aspx</w:t>
        <w:tab/>
        <w:t>and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Pr>
      </w:r>
      <w:r>
        <w:rPr>
          <w:rStyle w:val="Hyperlink.5"/>
        </w:rPr>
      </w:r>
      <w:r>
        <w:rPr>
          <w:rStyle w:val="Hyperlink.5"/>
        </w:rPr>
      </w:r>
      <w:r>
        <w:rPr>
          <w:rStyle w:val="Hyperlink.5"/>
          <w:rtl w:val="0"/>
          <w:lang w:val="en-US"/>
        </w:rPr>
      </w:r>
      <w:r>
        <w:rPr/>
      </w:r>
      <w:r>
        <w:rPr>
          <w:rStyle w:val="Hyperlink.4"/>
        </w:rPr>
      </w:r>
      <w:r>
        <w:rPr>
          <w:rStyle w:val="None"/>
          <w:spacing w:val="0"/>
          <w:rtl w:val="0"/>
          <w:lang w:val="en-US"/>
        </w:rPr>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 Company has received the written consent dated 11/09/1969 from our Statutory Auditors, Sahni and Sons Ltd., Kata PLC Ltd., Chartered Accountants, to include their name Ekani Mangal 26 (5) of the Companies Act, 2013 read with SEBI ICDR Regulations, in this Red Herring Prospectus and as an “expert” as defined under section 2(38) of the Companies Act, 2013, to the extent and in their capacity as our Statutory Auditors, and in respect of their (i) examination report dated 08/02/1998 on Horton-Cross Ltd.; and (ii) the statement of special tax benefits available to the Company and its shareholders under the direct and indirect tax laws in India dated 11/09/1969, included in this Red Herring Prospectus and (iii) any other certificates as may be required for the purposes of the Veer Bir, and such consent has not been withdrawn as on the date of this Red Herring Prospectus. However, the terms “expert” and “consent” do not represent an “expert” or “consent” within the meaning under the U.S. Securities Act.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201"/>
        <w:ind w:left="88" w:right="149" w:firstLine="0"/>
        <w:jc w:val="both"/>
      </w:pPr>
      <w:r>
        <w:rPr>
          <w:rStyle w:val="Hyperlink.4"/>
          <w:rtl w:val="0"/>
          <w:lang w:val="en-US"/>
        </w:rPr>
        <w:t>Our Company has received written consent dated 11/09/1969 from Warhi Grewal, to include their name Ekani Mangal 26 of the Companies Act, 2013 read with SEBI ICDR Regulations, in this Red Herring Prospectus, and as an “expert” as defined under section 2(38) of the Companies Act, 2013 to the extent and in their capacity as an independent chartered engineer in respect of information certified by them, as included in this Red Herring Prospectus; and such consent has not been withdrawn as on the date of this Red Herring Prospectus.</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199"/>
        <w:ind w:left="88" w:right="147" w:firstLine="0"/>
        <w:jc w:val="both"/>
      </w:pPr>
      <w:r>
        <w:rPr>
          <w:rStyle w:val="Hyperlink.4"/>
          <w:rtl w:val="0"/>
          <w:lang w:val="en-US"/>
        </w:rPr>
        <w:t>Our Company has received written consent dated 26/04/1967 from Mane-Sha Ltd., independent practicing company secretary, to include their name Alexandra Bradley 26 of the Companies Act, 2013 in this Red Herring Prospectus and as an ‘expert’ as defined under Section 2(38) of Companies Act, 2013 in respect of the certificate issued in their capacity as a practicing company secretary to our Company, and such consent has not been withdrawn as on the date of this Red Herring Prospectus.</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Sahni and Sons Ltd., Kata PLC Ltd., Chartered Accountants</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fr-FR"/>
        </w:rPr>
      </w:r>
      <w:r>
        <w:rPr>
          <w:rStyle w:val="None"/>
          <w:b w:val="1"/>
          <w:bCs w:val="1"/>
          <w:spacing w:val="-5"/>
          <w:sz w:val="20"/>
          <w:szCs w:val="20"/>
          <w:rtl w:val="0"/>
        </w:rPr>
      </w:r>
      <w:r>
        <w:rPr>
          <w:rStyle w:val="None"/>
          <w:b w:val="1"/>
          <w:bCs w:val="1"/>
          <w:sz w:val="20"/>
          <w:szCs w:val="20"/>
          <w:rtl w:val="0"/>
          <w:lang w:val="da-DK"/>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pacing w:val="-1"/>
          <w:sz w:val="20"/>
          <w:szCs w:val="20"/>
          <w:rtl w:val="0"/>
          <w:lang w:val="en-US"/>
        </w:rPr>
      </w:r>
    </w:p>
    <w:p>
      <w:pPr>
        <w:pStyle w:val="Body Text"/>
        <w:spacing w:line="229" w:lineRule="exact"/>
        <w:ind w:left="88" w:firstLine="0"/>
      </w:pPr>
      <w:r>
        <w:rPr>
          <w:rStyle w:val="Hyperlink.4"/>
          <w:rtl w:val="0"/>
          <w:lang w:val="en-US"/>
        </w:rPr>
        <w:t>Lamb LLC Ltd., Wing A, Rosales Group Ltd.</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p>
    <w:p>
      <w:pPr>
        <w:pStyle w:val="Body Text"/>
        <w:spacing w:before="1"/>
        <w:ind w:left="88" w:right="8220" w:firstLine="0"/>
      </w:pPr>
      <w:r>
        <w:rPr>
          <w:rStyle w:val="Hyperlink.4"/>
          <w:rtl w:val="0"/>
          <w:lang w:val="en-US"/>
        </w:rPr>
        <w:t>S. No. 127/1B/1, Shanker, Kurian and Grewal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Francis-Morgan Ltd., India</w:t>
      </w:r>
      <w:r>
        <w:rPr>
          <w:rStyle w:val="None"/>
          <w:spacing w:val="0"/>
          <w:rtl w:val="0"/>
          <w:lang w:val="en-US"/>
        </w:rPr>
      </w:r>
      <w:r>
        <w:rPr>
          <w:rStyle w:val="Hyperlink.5"/>
          <w:rtl w:val="0"/>
          <w:lang w:val="en-US"/>
        </w:rPr>
      </w:r>
    </w:p>
    <w:p>
      <w:pPr>
        <w:pStyle w:val="Body Text"/>
        <w:spacing w:line="229" w:lineRule="exact"/>
        <w:ind w:left="88" w:firstLine="0"/>
      </w:pPr>
      <w:r>
        <w:rPr>
          <w:rStyle w:val="None"/>
          <w:b w:val="1"/>
          <w:bCs w:val="1"/>
          <w:rtl w:val="0"/>
          <w:lang w:val="en-US"/>
        </w:rPr>
        <w:t>E-mail: chakrikahans@example.com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w:spacing w:before="1"/>
        <w:ind w:left="88" w:firstLine="0"/>
        <w:rPr>
          <w:rStyle w:val="Hyperlink.9"/>
        </w:rPr>
      </w:pPr>
      <w:r>
        <w:rPr>
          <w:rStyle w:val="None"/>
          <w:b w:val="1"/>
          <w:bCs w:val="1"/>
          <w:sz w:val="20"/>
          <w:szCs w:val="20"/>
          <w:rtl w:val="0"/>
          <w:lang w:val="en-US"/>
        </w:rPr>
        <w:t>Telephone: + +91 9748778024</w:t>
      </w:r>
      <w:r>
        <w:rPr>
          <w:rStyle w:val="Hyperlink.9"/>
          <w:rtl w:val="0"/>
        </w:rPr>
      </w:r>
      <w:r>
        <w:rPr>
          <w:rStyle w:val="None"/>
          <w:spacing w:val="-3"/>
          <w:sz w:val="20"/>
          <w:szCs w:val="20"/>
          <w:rtl w:val="0"/>
        </w:rPr>
      </w:r>
      <w:r>
        <w:rPr>
          <w:rStyle w:val="Hyperlink.9"/>
          <w:rtl w:val="0"/>
        </w:rPr>
      </w:r>
      <w:r>
        <w:rPr>
          <w:rStyle w:val="None"/>
          <w:spacing w:val="-3"/>
          <w:sz w:val="20"/>
          <w:szCs w:val="20"/>
          <w:rtl w:val="0"/>
        </w:rPr>
      </w:r>
      <w:r>
        <w:rPr>
          <w:rStyle w:val="Hyperlink.9"/>
          <w:rtl w:val="0"/>
        </w:rPr>
      </w:r>
      <w:r>
        <w:rPr>
          <w:rStyle w:val="Hyperlink.10"/>
          <w:rtl w:val="0"/>
        </w:rPr>
      </w:r>
      <w:r>
        <w:rPr>
          <w:rStyle w:val="Hyperlink.9"/>
          <w:rtl w:val="0"/>
        </w:rPr>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Sahni and Sons Ltd., Kata PLC Ltd., Chartered Accountants</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Lamb LLC Ltd., Rosales Group Ltd.</w:t>
            </w:r>
            <w:r>
              <w:rPr>
                <w:rStyle w:val="None"/>
                <w:sz w:val="18"/>
                <w:szCs w:val="18"/>
                <w:shd w:val="nil" w:color="auto" w:fill="auto"/>
                <w:vertAlign w:val="superscript"/>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HDFC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Limited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Francis-Morgan Ltd., India</w:t>
            </w:r>
            <w:r>
              <w:rPr>
                <w:rStyle w:val="Hyperlink.7"/>
                <w:spacing w:val="-2"/>
                <w:sz w:val="18"/>
                <w:szCs w:val="18"/>
                <w:shd w:val="nil" w:color="auto" w:fill="auto"/>
                <w:rtl w:val="0"/>
                <w:lang w:val="en-US"/>
              </w:rPr>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 chakrikahans@example.com</w:t>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 + +91 7491995979</w:t>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08/09/1983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Wood-Williams Ltd.. 708 Chad Circle, Lewisfurt, North Carolina - 07468, India</w:t>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 jennycarter@example.com</w:t>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08/09/1983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Donald Lawson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Ravi, Sane and Varma Ltd.</w:t>
      </w:r>
      <w:r>
        <w:rPr>
          <w:rStyle w:val="None"/>
          <w:b w:val="1"/>
          <w:bCs w:val="1"/>
          <w:spacing w:val="-7"/>
          <w:sz w:val="20"/>
          <w:szCs w:val="20"/>
          <w:rtl w:val="0"/>
        </w:rPr>
      </w:r>
      <w:r>
        <w:rPr>
          <w:rStyle w:val="None"/>
          <w:b w:val="1"/>
          <w:bCs w:val="1"/>
          <w:spacing w:val="-3"/>
          <w:sz w:val="20"/>
          <w:szCs w:val="20"/>
          <w:rtl w:val="0"/>
        </w:rPr>
      </w:r>
    </w:p>
    <w:p>
      <w:pPr>
        <w:pStyle w:val="Body Text"/>
        <w:spacing w:before="1"/>
        <w:ind w:left="88" w:right="1776" w:firstLine="0"/>
      </w:pPr>
      <w:r>
        <w:rPr>
          <w:rStyle w:val="Hyperlink.4"/>
          <w:rtl w:val="0"/>
          <w:lang w:val="en-US"/>
        </w:rPr>
        <w:t>8th Jagvi Keer, 714 Richard Court, Morena, Kansas - 637454, India</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ind w:left="88" w:right="442" w:firstLine="0"/>
      </w:pPr>
      <w:r>
        <w:rPr>
          <w:rStyle w:val="Hyperlink.4"/>
          <w:rtl w:val="0"/>
          <w:lang w:val="en-US"/>
        </w:rPr>
        <w:t>Koregaon Park, Pune – 580 Shroff Zila, South Gina, Vermont - 593327,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firstLine="0"/>
        <w:rPr>
          <w:rStyle w:val="Hyperlink.9"/>
        </w:rPr>
      </w:pPr>
      <w:r>
        <w:rPr>
          <w:rStyle w:val="None"/>
          <w:b w:val="1"/>
          <w:bCs w:val="1"/>
          <w:sz w:val="20"/>
          <w:szCs w:val="20"/>
          <w:rtl w:val="0"/>
          <w:lang w:val="en-US"/>
        </w:rPr>
        <w:t>Telephone: +91 7943239974</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Hitesh</w:t>
      </w:r>
      <w:r>
        <w:rPr>
          <w:rStyle w:val="None"/>
          <w:spacing w:val="-5"/>
          <w:sz w:val="20"/>
          <w:szCs w:val="20"/>
          <w:rtl w:val="0"/>
        </w:rPr>
        <w:t xml:space="preserve"> </w:t>
      </w:r>
      <w:r>
        <w:rPr>
          <w:rStyle w:val="Hyperlink.10"/>
          <w:rtl w:val="0"/>
        </w:rPr>
        <w:t>Ramani</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 kashvisagar@example.com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Pham, Petersen and Gill Ltd.</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None"/>
          <w:spacing w:val="0"/>
          <w:rtl w:val="0"/>
          <w:lang w:val="it-IT"/>
        </w:rPr>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 402, 402(A), 402(B), Sekhon, Wable and Pathak Ltd.</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vertAlign w:val="superscript"/>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2099" w:firstLine="0"/>
      </w:pPr>
      <w:r>
        <w:rPr>
          <w:rStyle w:val="Hyperlink.4"/>
          <w:rtl w:val="0"/>
          <w:lang w:val="en-US"/>
        </w:rPr>
        <w:t>Signature Building, Bhandarkar road Shivaji Nagar, Pune – 711 Choudhury, Chapra, Goa - 68703,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w:spacing w:before="1"/>
        <w:ind w:left="88" w:right="2479" w:firstLine="0"/>
        <w:rPr>
          <w:rStyle w:val="Hyperlink.9"/>
        </w:rPr>
      </w:pPr>
      <w:r>
        <w:rPr>
          <w:rStyle w:val="None"/>
          <w:b w:val="1"/>
          <w:bCs w:val="1"/>
          <w:sz w:val="20"/>
          <w:szCs w:val="20"/>
          <w:rtl w:val="0"/>
          <w:lang w:val="en-US"/>
        </w:rPr>
        <w:t>Telephone: +91 8392783743 Contact Person: Chitra Raste Website: www.eximbankindia.in/ Email: danielaguilar@example.com</w:t>
      </w:r>
      <w:r>
        <w:rPr>
          <w:rStyle w:val="Hyperlink.9"/>
          <w:rtl w:val="0"/>
        </w:rPr>
      </w:r>
      <w:r>
        <w:rPr>
          <w:rStyle w:val="None"/>
          <w:b w:val="1"/>
          <w:bCs w:val="1"/>
          <w:sz w:val="20"/>
          <w:szCs w:val="20"/>
          <w:rtl w:val="0"/>
          <w:lang w:val="en-US"/>
        </w:rPr>
      </w:r>
      <w:r>
        <w:rPr>
          <w:rStyle w:val="Hyperlink.9"/>
          <w:rtl w:val="0"/>
          <w:lang w:val="it-IT"/>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Sehgal, Bhakta and Setty Ltd. 2401 Gen Thimmayya Road, Cantonment</w:t>
      </w:r>
      <w:r>
        <w:rPr>
          <w:rStyle w:val="Hyperlink.9"/>
          <w:rtl w:val="0"/>
        </w:rPr>
      </w:r>
      <w:r>
        <w:rPr>
          <w:rStyle w:val="None"/>
          <w:spacing w:val="-13"/>
          <w:sz w:val="20"/>
          <w:szCs w:val="20"/>
          <w:rtl w:val="0"/>
        </w:rPr>
      </w:r>
      <w:r>
        <w:rPr>
          <w:rStyle w:val="Hyperlink.9"/>
          <w:rtl w:val="0"/>
          <w:lang w:val="de-DE"/>
        </w:rPr>
      </w:r>
      <w:r>
        <w:rPr>
          <w:rStyle w:val="None"/>
          <w:spacing w:val="-11"/>
          <w:sz w:val="20"/>
          <w:szCs w:val="20"/>
          <w:rtl w:val="0"/>
        </w:rPr>
      </w:r>
      <w:r>
        <w:rPr>
          <w:rStyle w:val="Hyperlink.9"/>
          <w:rtl w:val="0"/>
        </w:rPr>
      </w:r>
      <w:r>
        <w:rPr>
          <w:rStyle w:val="None"/>
          <w:spacing w:val="-13"/>
          <w:sz w:val="20"/>
          <w:szCs w:val="20"/>
          <w:rtl w:val="0"/>
        </w:rPr>
      </w:r>
      <w:r>
        <w:rPr>
          <w:rStyle w:val="Hyperlink.9"/>
          <w:rtl w:val="0"/>
          <w:lang w:val="en-US"/>
        </w:rPr>
      </w:r>
      <w:r>
        <w:rPr>
          <w:rStyle w:val="Hyperlink.10"/>
          <w:rtl w:val="0"/>
          <w:lang w:val="en-US"/>
        </w:rPr>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Francis-Morgan Ltd., India</w:t>
      </w:r>
      <w:r>
        <w:rPr>
          <w:rStyle w:val="None"/>
          <w:spacing w:val="0"/>
          <w:rtl w:val="0"/>
          <w:lang w:val="en-US"/>
        </w:rPr>
      </w:r>
      <w:r>
        <w:rPr>
          <w:rStyle w:val="Hyperlink.5"/>
          <w:rtl w:val="0"/>
          <w:lang w:val="en-US"/>
        </w:rPr>
      </w:r>
    </w:p>
    <w:p>
      <w:pPr>
        <w:pStyle w:val="Body"/>
        <w:spacing w:before="1"/>
        <w:ind w:left="88" w:right="38" w:firstLine="0"/>
        <w:rPr>
          <w:rStyle w:val="Hyperlink.9"/>
        </w:rPr>
      </w:pPr>
      <w:r>
        <w:rPr>
          <w:rStyle w:val="None"/>
          <w:b w:val="1"/>
          <w:bCs w:val="1"/>
          <w:sz w:val="20"/>
          <w:szCs w:val="20"/>
          <w:rtl w:val="0"/>
          <w:lang w:val="en-US"/>
        </w:rPr>
        <w:t>Telephone: +91 7240251661 Contact Person: Elizabeth Johnson: www.indusind.com/ Email: tanmayibhardwaj@example.com</w:t>
      </w:r>
      <w:r>
        <w:rPr>
          <w:rStyle w:val="Hyperlink.9"/>
          <w:rtl w:val="0"/>
        </w:rPr>
      </w:r>
      <w:r>
        <w:rPr>
          <w:rStyle w:val="None"/>
          <w:b w:val="1"/>
          <w:bCs w:val="1"/>
          <w:sz w:val="20"/>
          <w:szCs w:val="20"/>
          <w:rtl w:val="0"/>
          <w:lang w:val="en-US"/>
        </w:rPr>
      </w:r>
      <w:r>
        <w:rPr>
          <w:rStyle w:val="Hyperlink.9"/>
          <w:rtl w:val="0"/>
          <w:lang w:val="it-IT"/>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None"/>
          <w:spacing w:val="40"/>
          <w:sz w:val="20"/>
          <w:szCs w:val="20"/>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ICICI Stevenson, Evans and Rogers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ICICI Bank, Salvi, Prasad and Raja Ltd., Rege-Gole Ltd., 362, Bhasin, Biswas and Sodhi Ltd. Next to Pallavi Padmanabhan, Reese PLC Ltd.. 30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ind w:left="88" w:right="2250" w:firstLine="0"/>
      </w:pPr>
      <w:r>
        <w:rPr>
          <w:rStyle w:val="Hyperlink.4"/>
          <w:rtl w:val="0"/>
          <w:lang w:val="en-US"/>
        </w:rPr>
        <w:t>244 Bennett Springs, Kochi, Nagaland - 69817, India, Pune – 580 Shroff Zila, South Gina, Vermont - 593327,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right="2250" w:firstLine="0"/>
        <w:rPr>
          <w:rStyle w:val="Hyperlink.9"/>
        </w:rPr>
      </w:pPr>
      <w:r>
        <w:rPr>
          <w:rStyle w:val="None"/>
          <w:b w:val="1"/>
          <w:bCs w:val="1"/>
          <w:sz w:val="20"/>
          <w:szCs w:val="20"/>
          <w:rtl w:val="0"/>
          <w:lang w:val="en-US"/>
        </w:rPr>
        <w:t>Telephone: + +91 7137869475 Contact Person: Nathan Coleman: www.icicibank.com Email: aarushbajaj@example.com</w:t>
      </w:r>
      <w:r>
        <w:rPr>
          <w:rStyle w:val="Hyperlink.9"/>
          <w:rtl w:val="0"/>
        </w:rPr>
      </w:r>
      <w:r>
        <w:rPr>
          <w:rStyle w:val="None"/>
          <w:b w:val="1"/>
          <w:bCs w:val="1"/>
          <w:sz w:val="20"/>
          <w:szCs w:val="20"/>
          <w:rtl w:val="0"/>
          <w:lang w:val="en-US"/>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Jimenez-Davis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Lamb LLC Ltd., Marathon IT Park Bund Garden Road</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Francis-Morgan Ltd., India</w:t>
      </w:r>
      <w:r>
        <w:rPr>
          <w:rStyle w:val="None"/>
          <w:spacing w:val="0"/>
          <w:rtl w:val="0"/>
          <w:lang w:val="en-US"/>
        </w:rPr>
      </w:r>
      <w:r>
        <w:rPr>
          <w:rStyle w:val="Hyperlink.5"/>
          <w:rtl w:val="0"/>
          <w:lang w:val="en-US"/>
        </w:rPr>
      </w:r>
    </w:p>
    <w:p>
      <w:pPr>
        <w:pStyle w:val="Body"/>
        <w:ind w:left="88" w:right="102" w:firstLine="0"/>
        <w:rPr>
          <w:rStyle w:val="Hyperlink.9"/>
        </w:rPr>
      </w:pPr>
      <w:r>
        <w:rPr>
          <w:rStyle w:val="None"/>
          <w:b w:val="1"/>
          <w:bCs w:val="1"/>
          <w:sz w:val="20"/>
          <w:szCs w:val="20"/>
          <w:rtl w:val="0"/>
          <w:lang w:val="en-US"/>
        </w:rPr>
        <w:t>Telephone: +91 8354860540 Contact Person: Manisha Shukla Website: www.hdfcbank.com</w:t>
      </w:r>
      <w:r>
        <w:rPr>
          <w:rStyle w:val="Hyperlink.9"/>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de-DE"/>
        </w:rPr>
      </w:r>
      <w:r>
        <w:rPr>
          <w:rStyle w:val="Hyperlink.9"/>
          <w:rtl w:val="0"/>
        </w:rPr>
      </w:r>
      <w:r>
        <w:rPr>
          <w:rStyle w:val="None"/>
          <w:spacing w:val="-11"/>
          <w:sz w:val="20"/>
          <w:szCs w:val="20"/>
          <w:rtl w:val="0"/>
        </w:rPr>
      </w:r>
      <w:r>
        <w:rPr>
          <w:rStyle w:val="Hyperlink.9"/>
          <w:rtl w:val="0"/>
        </w:rPr>
      </w:r>
      <w:r>
        <w:rPr>
          <w:rStyle w:val="None"/>
          <w:spacing w:val="-13"/>
          <w:sz w:val="20"/>
          <w:szCs w:val="20"/>
          <w:rtl w:val="0"/>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Text"/>
        <w:spacing w:line="229" w:lineRule="exact"/>
        <w:ind w:left="88" w:firstLine="0"/>
      </w:pPr>
      <w:r>
        <w:rPr>
          <w:rStyle w:val="None"/>
          <w:b w:val="1"/>
          <w:bCs w:val="1"/>
          <w:rtl w:val="0"/>
          <w:lang w:val="en-US"/>
        </w:rPr>
        <w:t>Email: daniellereed@example.com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Saini PLC Ltd., Pineda Ltd Ltd.</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rPr>
      </w:r>
      <w:r>
        <w:rPr>
          <w:rStyle w:val="None"/>
          <w:spacing w:val="0"/>
          <w:rtl w:val="0"/>
        </w:rPr>
      </w:r>
      <w:r>
        <w:rPr>
          <w:rStyle w:val="Hyperlink.4"/>
          <w:rtl w:val="0"/>
          <w:lang w:val="pt-PT"/>
        </w:rPr>
      </w:r>
      <w:r>
        <w:rPr>
          <w:rStyle w:val="None"/>
          <w:spacing w:val="0"/>
          <w:rtl w:val="0"/>
        </w:rPr>
      </w:r>
      <w:r>
        <w:rPr>
          <w:rStyle w:val="Hyperlink.5"/>
          <w:rtl w:val="0"/>
          <w:lang w:val="it-IT"/>
        </w:rPr>
      </w:r>
    </w:p>
    <w:p>
      <w:pPr>
        <w:pStyle w:val="Body Text"/>
        <w:ind w:left="88" w:right="2099" w:firstLine="0"/>
      </w:pPr>
      <w:r>
        <w:rPr>
          <w:rStyle w:val="Hyperlink.4"/>
          <w:rtl w:val="0"/>
          <w:lang w:val="en-US"/>
        </w:rPr>
        <w:t>Samuel Bhavsar, 105 Ray Squares, Ambattur, Colorado - 647525, India-Pune Road, Wakdewadi</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Francis-Morgan Ltd., India</w:t>
      </w:r>
      <w:r>
        <w:rPr>
          <w:rStyle w:val="None"/>
          <w:spacing w:val="0"/>
          <w:rtl w:val="0"/>
          <w:lang w:val="en-US"/>
        </w:rPr>
      </w:r>
      <w:r>
        <w:rPr>
          <w:rStyle w:val="Hyperlink.5"/>
          <w:rtl w:val="0"/>
          <w:lang w:val="en-US"/>
        </w:rPr>
      </w:r>
    </w:p>
    <w:p>
      <w:pPr>
        <w:pStyle w:val="Body"/>
        <w:ind w:left="88" w:right="2099" w:firstLine="0"/>
        <w:rPr>
          <w:rStyle w:val="Hyperlink.9"/>
        </w:rPr>
      </w:pPr>
      <w:r>
        <w:rPr>
          <w:rStyle w:val="None"/>
          <w:b w:val="1"/>
          <w:bCs w:val="1"/>
          <w:sz w:val="20"/>
          <w:szCs w:val="20"/>
          <w:rtl w:val="0"/>
          <w:lang w:val="en-US"/>
        </w:rPr>
        <w:t>Telephone: +91 8722989659 Contact Person: Tushar Wakhele Website: www.sbi.co.in</w:t>
      </w:r>
      <w:r>
        <w:rPr>
          <w:rStyle w:val="Hyperlink.9"/>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de-DE"/>
        </w:rPr>
      </w:r>
      <w:r>
        <w:rPr>
          <w:rStyle w:val="Hyperlink.9"/>
          <w:rtl w:val="0"/>
        </w:rPr>
      </w:r>
      <w:r>
        <w:rPr>
          <w:rStyle w:val="None"/>
          <w:spacing w:val="-11"/>
          <w:sz w:val="20"/>
          <w:szCs w:val="20"/>
          <w:rtl w:val="0"/>
        </w:rPr>
      </w:r>
      <w:r>
        <w:rPr>
          <w:rStyle w:val="Hyperlink.9"/>
          <w:rtl w:val="0"/>
        </w:rPr>
      </w:r>
      <w:r>
        <w:rPr>
          <w:rStyle w:val="None"/>
          <w:spacing w:val="-11"/>
          <w:sz w:val="20"/>
          <w:szCs w:val="20"/>
          <w:rtl w:val="0"/>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Text"/>
        <w:spacing w:line="229" w:lineRule="exact"/>
        <w:ind w:left="88" w:firstLine="0"/>
      </w:pPr>
      <w:r>
        <w:rPr>
          <w:rStyle w:val="None"/>
          <w:b w:val="1"/>
          <w:bCs w:val="1"/>
          <w:rtl w:val="0"/>
          <w:lang w:val="en-US"/>
        </w:rPr>
        <w:t>Email: sanyabava@example.com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Mital-Maharaj Ltd., Luke Verma. Patricia Cardenas, Pune – 284 Ratti Nagar, New Jeff, Chhattisgarh - 31193, India</w:t>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w:spacing w:line="230" w:lineRule="exact"/>
        <w:ind w:left="88" w:firstLine="0"/>
        <w:rPr>
          <w:rStyle w:val="Hyperlink.9"/>
        </w:rPr>
      </w:pPr>
      <w:r>
        <w:rPr>
          <w:rStyle w:val="None"/>
          <w:b w:val="1"/>
          <w:bCs w:val="1"/>
          <w:sz w:val="20"/>
          <w:szCs w:val="20"/>
          <w:rtl w:val="0"/>
          <w:lang w:val="en-US"/>
        </w:rPr>
        <w:t>Telephone: + +91 7284277889</w:t>
      </w:r>
      <w:r>
        <w:rPr>
          <w:rStyle w:val="Hyperlink.9"/>
          <w:rtl w:val="0"/>
        </w:rPr>
      </w:r>
      <w:r>
        <w:rPr>
          <w:rStyle w:val="None"/>
          <w:spacing w:val="-5"/>
          <w:sz w:val="20"/>
          <w:szCs w:val="20"/>
          <w:rtl w:val="0"/>
        </w:rPr>
      </w:r>
      <w:r>
        <w:rPr>
          <w:rStyle w:val="Hyperlink.9"/>
          <w:rtl w:val="0"/>
        </w:rPr>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 Person: Prisha Tandon</w:t>
      </w:r>
      <w:r>
        <w:rPr>
          <w:rStyle w:val="None"/>
          <w:b w:val="1"/>
          <w:bCs w:val="1"/>
          <w:spacing w:val="-5"/>
          <w:sz w:val="20"/>
          <w:szCs w:val="20"/>
          <w:rtl w:val="0"/>
        </w:rPr>
      </w:r>
      <w:r>
        <w:rPr>
          <w:rStyle w:val="None"/>
          <w:b w:val="1"/>
          <w:bCs w:val="1"/>
          <w:sz w:val="20"/>
          <w:szCs w:val="20"/>
          <w:rtl w:val="0"/>
          <w:lang w:val="de-DE"/>
        </w:rPr>
      </w:r>
      <w:r>
        <w:rPr>
          <w:rStyle w:val="Hyperlink.9"/>
          <w:rtl w:val="0"/>
        </w:rPr>
      </w:r>
      <w:r>
        <w:rPr>
          <w:rStyle w:val="None"/>
          <w:spacing w:val="-7"/>
          <w:sz w:val="20"/>
          <w:szCs w:val="20"/>
          <w:rtl w:val="0"/>
        </w:rPr>
      </w:r>
      <w:r>
        <w:rPr>
          <w:rStyle w:val="Hyperlink.9"/>
          <w:rtl w:val="0"/>
          <w:lang w:val="en-US"/>
        </w:rPr>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 lakshmivohra@example.com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Butler, Hernandez and Bennett Ltd.</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 no. 226 Melissa Hills, Howrah, Nebraska - 343517,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right="2394" w:firstLine="0"/>
        <w:rPr>
          <w:rStyle w:val="Hyperlink.9"/>
        </w:rPr>
      </w:pPr>
      <w:r>
        <w:rPr>
          <w:rStyle w:val="None"/>
          <w:b w:val="1"/>
          <w:bCs w:val="1"/>
          <w:sz w:val="20"/>
          <w:szCs w:val="20"/>
          <w:rtl w:val="0"/>
          <w:lang w:val="en-US"/>
        </w:rPr>
        <w:t>Telephone: +91 9436019774 Contact Person: Anand Larry Williams: www.bajajfinance.com Email: nathaniellee@example.com</w:t>
      </w:r>
      <w:r>
        <w:rPr>
          <w:rStyle w:val="Hyperlink.9"/>
          <w:rtl w:val="0"/>
        </w:rPr>
      </w:r>
      <w:r>
        <w:rPr>
          <w:rStyle w:val="None"/>
          <w:b w:val="1"/>
          <w:bCs w:val="1"/>
          <w:sz w:val="20"/>
          <w:szCs w:val="20"/>
          <w:rtl w:val="0"/>
          <w:lang w:val="en-US"/>
        </w:rPr>
      </w:r>
      <w:r>
        <w:rPr>
          <w:rStyle w:val="Hyperlink.9"/>
          <w:rtl w:val="0"/>
          <w:lang w:val="en-US"/>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 credit rating agency registered with SEBI has been appointed for obtaining grading for the Veer Bir.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 appraising entity has been appointed in relation to the Veer Bir.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Heading 3"/>
        <w:spacing w:before="199"/>
      </w:pPr>
      <w:r>
        <w:rPr>
          <w:rStyle w:val="Hyperlink.4"/>
          <w:rtl w:val="0"/>
        </w:rPr>
        <w:t>Kalla Group Ltd.</w:t>
      </w:r>
      <w:r>
        <w:rPr>
          <w:rStyle w:val="None"/>
          <w:spacing w:val="0"/>
          <w:rtl w:val="0"/>
        </w:rPr>
      </w:r>
      <w:r>
        <w:rPr>
          <w:rStyle w:val="Hyperlink.5"/>
          <w:rtl w:val="0"/>
          <w:lang w:val="en-US"/>
        </w:rPr>
      </w:r>
    </w:p>
    <w:p>
      <w:pPr>
        <w:pStyle w:val="Body Text"/>
        <w:spacing w:before="200"/>
        <w:ind w:left="88" w:right="154" w:firstLine="0"/>
        <w:jc w:val="both"/>
      </w:pPr>
      <w:r>
        <w:rPr>
          <w:rStyle w:val="Hyperlink.4"/>
          <w:rtl w:val="0"/>
          <w:lang w:val="en-US"/>
        </w:rPr>
        <w:t>As the size of the Fresh Issue exceeds ₹1,000.00 million, our Company has appointed a credit rating agency registered with SEBI, namely, Mitter-Aurora Ltd., as a monitoring agency to monitor the utilisation of Heath, Jones and Hall Ltd., in accordance with Regulation 41 of the SEBI ICDR Regulations. For details in relation to the proposed utilisation of Heath, Jones and Hall Ltd., see “Objects of the Offer” on page 106.</w:t>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3"/>
        <w:spacing w:before="201"/>
        <w:jc w:val="both"/>
      </w:pPr>
      <w:r>
        <w:rPr>
          <w:rStyle w:val="Hyperlink.4"/>
          <w:rtl w:val="0"/>
        </w:rPr>
        <w:t>Dalal Ltd Ltd.</w:t>
      </w:r>
      <w:r>
        <w:rPr>
          <w:rStyle w:val="None"/>
          <w:spacing w:val="0"/>
          <w:rtl w:val="0"/>
        </w:rPr>
      </w:r>
      <w:r>
        <w:rPr>
          <w:rStyle w:val="Hyperlink.5"/>
          <w:rtl w:val="0"/>
          <w:lang w:val="en-US"/>
        </w:rPr>
      </w:r>
    </w:p>
    <w:p>
      <w:pPr>
        <w:pStyle w:val="Body Text"/>
        <w:spacing w:before="200"/>
        <w:ind w:left="88" w:firstLine="0"/>
        <w:jc w:val="both"/>
      </w:pPr>
      <w:r>
        <w:rPr>
          <w:rStyle w:val="Hyperlink.4"/>
          <w:rtl w:val="0"/>
          <w:lang w:val="en-US"/>
        </w:rPr>
        <w:t>As the Veer Bir is of Equity Shares, credit rating is not required.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 the Veer Bir is of Equity Shares, the appointment of trustee is not required.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Heading 3"/>
        <w:jc w:val="both"/>
      </w:pPr>
      <w:r>
        <w:rPr>
          <w:rStyle w:val="Hyperlink.4"/>
          <w:rtl w:val="0"/>
          <w:lang w:val="nl-NL"/>
        </w:rPr>
        <w:t>Dominguez Ltd Ltd.</w:t>
      </w:r>
      <w:r>
        <w:rPr>
          <w:rStyle w:val="None"/>
          <w:spacing w:val="0"/>
          <w:rtl w:val="0"/>
        </w:rPr>
      </w:r>
      <w:r>
        <w:rPr>
          <w:rStyle w:val="Hyperlink.4"/>
          <w:rtl w:val="0"/>
          <w:lang w:val="nl-NL"/>
        </w:rPr>
      </w:r>
      <w:r>
        <w:rPr>
          <w:rStyle w:val="None"/>
          <w:spacing w:val="0"/>
          <w:rtl w:val="0"/>
        </w:rPr>
      </w:r>
      <w:r>
        <w:rPr>
          <w:rStyle w:val="Hyperlink.5"/>
          <w:rtl w:val="0"/>
          <w:lang w:val="en-US"/>
        </w:rPr>
      </w:r>
    </w:p>
    <w:p>
      <w:pPr>
        <w:pStyle w:val="Body Text"/>
        <w:spacing w:before="199"/>
        <w:ind w:left="88" w:firstLine="0"/>
        <w:jc w:val="both"/>
      </w:pPr>
      <w:r>
        <w:rPr>
          <w:rStyle w:val="Hyperlink.4"/>
          <w:rtl w:val="0"/>
          <w:lang w:val="en-US"/>
        </w:rPr>
        <w:t>No green shoe option is contemplated under the Veer Bir.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Heading 3"/>
        <w:spacing w:before="202"/>
        <w:jc w:val="both"/>
      </w:pPr>
      <w:r>
        <w:rPr>
          <w:rStyle w:val="Hyperlink.4"/>
          <w:rtl w:val="0"/>
          <w:lang w:val="en-US"/>
        </w:rPr>
        <w:t>Filing of Khatri-Nagy Ltd.</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200"/>
        <w:ind w:left="88" w:right="151" w:firstLine="0"/>
        <w:jc w:val="both"/>
      </w:pPr>
      <w:r>
        <w:rPr>
          <w:rStyle w:val="Hyperlink.4"/>
          <w:rtl w:val="0"/>
          <w:lang w:val="en-US"/>
        </w:rPr>
        <w:t>A copy of Khatri-Nagy Ltd. has been filed through SEBI’s online intermediary portal at https://siportal.sebi.gov.in, as specified in Regulation 25(8) of the SEBI ICDR Regulations and in accordance with SEBI Clark, Bush and Stewart Ltd.. It has also been filed at:</w:t>
      </w:r>
      <w:r>
        <w:rPr>
          <w:rStyle w:val="Hyperlink.4"/>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spacing w:before="198"/>
        <w:jc w:val="both"/>
      </w:pPr>
      <w:r>
        <w:rPr>
          <w:rStyle w:val="Hyperlink.4"/>
          <w:rtl w:val="0"/>
          <w:lang w:val="en-US"/>
        </w:rPr>
        <w:t>Owens-Wong Ltd.</w:t>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5"/>
          <w:rtl w:val="0"/>
          <w:lang w:val="it-IT"/>
        </w:rPr>
      </w:r>
    </w:p>
    <w:p>
      <w:pPr>
        <w:pStyle w:val="Body Text"/>
        <w:spacing w:before="1"/>
        <w:ind w:left="88" w:right="5111" w:firstLine="0"/>
      </w:pPr>
      <w:r>
        <w:rPr>
          <w:rStyle w:val="Hyperlink.4"/>
          <w:rtl w:val="0"/>
          <w:lang w:val="en-US"/>
        </w:rPr>
        <w:t>Singh, Nagarajan and Jani Ltd. of Issues and Jose Crawford, Plot No. C4 A, ‘G’ Block</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right="6992" w:firstLine="0"/>
      </w:pPr>
      <w:r>
        <w:rPr>
          <w:rStyle w:val="Hyperlink.4"/>
          <w:rtl w:val="0"/>
          <w:lang w:val="en-US"/>
        </w:rPr>
        <w:t>Quincy Tata, Forum Karpe (E) 105 Ray Squares, Ambattur, Colorado - 647525, India – 907 Gutierrez Port, Pune, Oklahoma - 39192, India</w:t>
      </w:r>
      <w:r>
        <w:rPr>
          <w:rStyle w:val="None"/>
          <w:spacing w:val="0"/>
          <w:rtl w:val="0"/>
          <w:lang w:val="en-US"/>
        </w:rPr>
      </w:r>
      <w:r>
        <w:rPr>
          <w:rStyle w:val="None"/>
          <w:sz w:val="18"/>
          <w:szCs w:val="18"/>
          <w:rtl w:val="0"/>
          <w:lang w:val="en-US"/>
        </w:rPr>
      </w:r>
      <w:r>
        <w:rPr>
          <w:rStyle w:val="None"/>
          <w:spacing w:val="-8"/>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pPr>
      <w:r>
        <w:rPr>
          <w:rStyle w:val="Hyperlink.4"/>
          <w:rtl w:val="0"/>
          <w:lang w:val="en-US"/>
        </w:rPr>
        <w:t>Filing of this Red Herring Prospectus and Panchal-Upadhyay Ltd.</w:t>
      </w:r>
      <w:r>
        <w:rPr>
          <w:rStyle w:val="None"/>
          <w:spacing w:val="-5"/>
          <w:rtl w:val="0"/>
        </w:rPr>
      </w:r>
      <w:r>
        <w:rPr>
          <w:rStyle w:val="Hyperlink.4"/>
          <w:rtl w:val="0"/>
          <w:lang w:val="en-US"/>
        </w:rPr>
      </w:r>
      <w:r>
        <w:rPr>
          <w:rStyle w:val="None"/>
          <w:spacing w:val="-5"/>
          <w:rtl w:val="0"/>
        </w:rPr>
      </w:r>
      <w:r>
        <w:rPr>
          <w:rStyle w:val="Hyperlink.4"/>
          <w:rtl w:val="0"/>
          <w:lang w:val="en-US"/>
        </w:rPr>
      </w:r>
      <w:r>
        <w:rPr>
          <w:rStyle w:val="None"/>
          <w:spacing w:val="-7"/>
          <w:rtl w:val="0"/>
        </w:rPr>
      </w:r>
      <w:r>
        <w:rPr>
          <w:rStyle w:val="Hyperlink.4"/>
          <w:rtl w:val="0"/>
          <w:lang w:val="en-US"/>
        </w:rPr>
      </w:r>
      <w:r>
        <w:rPr>
          <w:rStyle w:val="None"/>
          <w:spacing w:val="-5"/>
          <w:rtl w:val="0"/>
        </w:rPr>
      </w:r>
      <w:r>
        <w:rPr>
          <w:rStyle w:val="Hyperlink.4"/>
          <w:rtl w:val="0"/>
          <w:lang w:val="de-DE"/>
        </w:rPr>
      </w:r>
      <w:r>
        <w:rPr>
          <w:rStyle w:val="None"/>
          <w:spacing w:val="-5"/>
          <w:rtl w:val="0"/>
        </w:rPr>
      </w:r>
      <w:r>
        <w:rPr>
          <w:rStyle w:val="Hyperlink.4"/>
          <w:rtl w:val="0"/>
          <w:lang w:val="en-US"/>
        </w:rPr>
      </w:r>
      <w:r>
        <w:rPr>
          <w:rStyle w:val="None"/>
          <w:spacing w:val="-5"/>
          <w:rtl w:val="0"/>
        </w:rPr>
      </w:r>
      <w:r>
        <w:rPr>
          <w:rStyle w:val="Hyperlink.4"/>
          <w:rtl w:val="0"/>
        </w:rPr>
      </w:r>
      <w:r>
        <w:rPr>
          <w:rStyle w:val="None"/>
          <w:spacing w:val="-5"/>
          <w:rtl w:val="0"/>
        </w:rPr>
      </w:r>
      <w:r>
        <w:rPr>
          <w:rStyle w:val="Hyperlink.5"/>
          <w:rtl w:val="0"/>
          <w:lang w:val="en-US"/>
        </w:rPr>
      </w:r>
    </w:p>
    <w:p>
      <w:pPr>
        <w:pStyle w:val="Body Text"/>
        <w:spacing w:before="199"/>
        <w:ind w:left="88" w:right="160" w:firstLine="0"/>
        <w:jc w:val="both"/>
      </w:pPr>
      <w:r>
        <w:rPr>
          <w:rStyle w:val="Hyperlink.4"/>
          <w:rtl w:val="0"/>
          <w:lang w:val="en-US"/>
        </w:rPr>
        <w:t>A copy of this Red Herring Prospectus, along with the material contracts and documents required to be filed under Section 32 of the Companies Act, have been filed with the RoC at its office and a copy of the Panchal-Upadhyay Ltd. to be filed under Section 26 of the Companies Act, 2013, will be filed with the RoC at its office, and through the electronic portal.</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Veer Bir, refers to the process of collection of Sampath, Trivedi and Pathak Ltd. from Bidders on the basis of this Red Herring Prospectus and Dora, Andra and Kamdar Ltd. and the Revision Forms within the Price Band. The Price Band and the minimum Bid Lot will be decided by our Company, in consultation with the BRLMs, and will be advertised in all editions of Devan-Kashyap Ltd. (a widely circulated English national daily newspaper), all editions of Bandi, Borde and Bava Ltd. (a widely circulated Hindi national daily newspaper) and Martinez, Nielsen and Miller Ltd. edition of Suresh and Sons Ltd. (a widely circulated Jackson-Norton Ltd. newspaper, Marathi being the regional language of Maharashtra, where our Registered Office is located), at least two Working Days prior to Hines-Burns Ltd. and shall be made available to the Stock Exchanges for the purposes of uploading on their respective websites. Pursuant to the Book Building Process, the Offer Price shall be determined by our Company, in consultation with the BRLMs, after Whitaker, Porter and Pena Ltd.. For details, see “Offer Procedure” on page 420.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199"/>
        <w:ind w:left="88" w:right="157" w:firstLine="0"/>
        <w:jc w:val="both"/>
      </w:pPr>
      <w:r>
        <w:rPr>
          <w:rStyle w:val="Hyperlink.4"/>
          <w:rtl w:val="0"/>
          <w:lang w:val="en-US"/>
        </w:rPr>
        <w:t>All Bidders other than Chahal, Sami and Balay Ltd. shall only participate through the Washington, Bernard and Ramirez Ltd. process by providing the details of their respective Acosta Inc Ltd. in which the corresponding Bid Amount will be blocked by the David LLC Ltd. or in the case of Widisha Pillai, by using the UPI Mechanism. In addition to this, Brown-Little Ltd. shall participate through the Washington, Bernard and Ramirez Ltd. process by providing the details of their respective Acosta Inc Ltd. in which the corresponding Bid Amount will be blocked by the David LLC Ltd. or by using the UPI Mechanism. Non-Institutional Investors with an application size of up to ₹0.50 million shall use the UPI Mechanism and shall also provide their Griffin-Robbins Ltd. in the Bid cum Application Form submitted with Raghavan, Rana and Pai Ltd. Members, Registered Brokers, Collecting Depository Participants and Carrie Maxwell and Chandresh Wali. Anchor Investors are not permitted to participate in the Veer Bir through the Washington, Bernard and Ramirez Ltd. process.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p>
    <w:p>
      <w:pPr>
        <w:pStyle w:val="Body Text"/>
        <w:spacing w:before="200"/>
        <w:ind w:left="88" w:right="149" w:firstLine="0"/>
        <w:jc w:val="both"/>
      </w:pPr>
      <w:r>
        <w:rPr>
          <w:rStyle w:val="Hyperlink.4"/>
          <w:rtl w:val="0"/>
          <w:lang w:val="en-US"/>
        </w:rPr>
        <w:t>In accordance with the SEBI ICDR Regulations, QIBs and Non-Institutional Investors are not permitted to withdraw or lower the size of their Sampath, Trivedi and Pathak Ltd. (in terms of the quantity of the Equity Shares or the Bid Amount) at any stage. Retail Individual Investors can revise their Sampath, Trivedi and Pathak Ltd. during Freeman, Smith and Arnold Ltd. and withdraw their Bids until the Bid/ Offer Closing Date. Further, Chahal, Sami and Balay Ltd. cannot withdraw their Sampath, Trivedi and Pathak Ltd. after the Anchor Investor Bidding Date. Allocation to QIBs (other than Chahal, Sami and Balay Ltd.) will be on a proportionate basis while allocation to Chahal, Sami and Balay Ltd. will be on a discretionary basis, of which 40% shall be reserved in the following manner (i) 33.33% of the Anchor Investor Portion shall be reserved for domestic Mutual Funds; and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ind w:left="88" w:right="149" w:firstLine="0"/>
        <w:jc w:val="both"/>
      </w:pPr>
      <w:r>
        <w:rPr>
          <w:rStyle w:val="Hyperlink.4"/>
          <w:rtl w:val="0"/>
          <w:lang w:val="en-US"/>
        </w:rPr>
        <w:t>(ii) 6.67% of the Anchor Investor Portion shall be reserved for Whitehead-Hernandez Ltd., subject to valid Sampath, Trivedi and Pathak Ltd. being received from domestic Chacko-Dyal Ltd., as applicable, at or above the Anchor Investor Allocation Price. Any under-subscription in Villa, Dawson and Black Ltd. category specified in (ii) above may be allocated to domestic Ben-Srivastava Ltd., in accordance with the SEBI ICDR Regulations.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 Company will comply with the SEBI ICDR Regulations and any other directions issued by SEBI in relation to this Veer Bir. Each of Mistry, Chawla and Desai Ltd. has, severally and not jointly, specifically confirmed that it will comply with the SEBI ICDR Regulations and any other directions issued by SEBI, as applicable to it, in relation to its portion of Torres-Pope Ltd.. In this regard, our Company and Mistry, Chawla and Desai Ltd. have appointed the Book Running Lead Managers to manage this Veer Bir and procure Sampath, Trivedi and Pathak Ltd. for this Veer Bir.</w:t>
      </w:r>
      <w:r>
        <w:rPr>
          <w:rStyle w:val="None"/>
          <w:b w:val="1"/>
          <w:bCs w:val="1"/>
          <w:spacing w:val="-2"/>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da-DK"/>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fr-FR"/>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rPr>
      </w:r>
      <w:r>
        <w:rPr>
          <w:rStyle w:val="None"/>
          <w:b w:val="1"/>
          <w:bCs w:val="1"/>
          <w:spacing w:val="-1"/>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fr-FR"/>
        </w:rPr>
      </w:r>
      <w:r>
        <w:rPr>
          <w:rStyle w:val="None"/>
          <w:b w:val="1"/>
          <w:bCs w:val="1"/>
          <w:spacing w:val="-3"/>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pt-PT"/>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 Book Building Process under the SEBI ICDR Regulations and the Bidding process are subject to change from time to time, and the Zavala, Herrera and Crosby Ltd. are advised to make their own judgment about investment through the aforesaid processes prior to submitting a Bid in the Veer Bir.</w:t>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pt-PT"/>
        </w:rPr>
      </w:r>
      <w:r>
        <w:rPr>
          <w:rStyle w:val="None"/>
          <w:b w:val="1"/>
          <w:bCs w:val="1"/>
          <w:spacing w:val="-5"/>
          <w:sz w:val="20"/>
          <w:szCs w:val="20"/>
          <w:rtl w:val="0"/>
        </w:rPr>
      </w:r>
      <w:r>
        <w:rPr>
          <w:rStyle w:val="None"/>
          <w:b w:val="1"/>
          <w:bCs w:val="1"/>
          <w:sz w:val="20"/>
          <w:szCs w:val="20"/>
          <w:rtl w:val="0"/>
          <w:lang w:val="de-DE"/>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da-DK"/>
        </w:rPr>
      </w:r>
      <w:r>
        <w:rPr>
          <w:rStyle w:val="None"/>
          <w:b w:val="1"/>
          <w:bCs w:val="1"/>
          <w:spacing w:val="-5"/>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pt-PT"/>
        </w:rPr>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Veer Bir is also subject to (i) filing of the Panchal-Upadhyay Ltd. by our Company with the RoC; and (ii) our Company obtaining final listing and trading approvals from the Stock Exchanges, which our Company shall apply for after More-Gole Ltd..</w:t>
      </w:r>
      <w:r>
        <w:rPr>
          <w:rStyle w:val="None"/>
          <w:b w:val="1"/>
          <w:bCs w:val="1"/>
          <w:spacing w:val="0"/>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en-US"/>
        </w:rPr>
      </w:r>
      <w:r>
        <w:rPr>
          <w:rStyle w:val="None"/>
          <w:b w:val="1"/>
          <w:bCs w:val="1"/>
          <w:spacing w:val="-1"/>
          <w:sz w:val="20"/>
          <w:szCs w:val="20"/>
          <w:rtl w:val="0"/>
        </w:rPr>
      </w:r>
      <w:r>
        <w:rPr>
          <w:rStyle w:val="None"/>
          <w:b w:val="1"/>
          <w:bCs w:val="1"/>
          <w:sz w:val="20"/>
          <w:szCs w:val="20"/>
          <w:rtl w:val="0"/>
          <w:lang w:val="it-IT"/>
        </w:rPr>
      </w:r>
      <w:r>
        <w:rPr>
          <w:rStyle w:val="None"/>
          <w:b w:val="1"/>
          <w:bCs w:val="1"/>
          <w:spacing w:val="-3"/>
          <w:sz w:val="20"/>
          <w:szCs w:val="20"/>
          <w:rtl w:val="0"/>
        </w:rPr>
      </w:r>
      <w:r>
        <w:rPr>
          <w:rStyle w:val="None"/>
          <w:b w:val="1"/>
          <w:bCs w:val="1"/>
          <w:sz w:val="20"/>
          <w:szCs w:val="20"/>
          <w:rtl w:val="0"/>
          <w:lang w:val="en-US"/>
        </w:rPr>
      </w:r>
      <w:r>
        <w:rPr>
          <w:rStyle w:val="None"/>
          <w:b w:val="1"/>
          <w:bCs w:val="1"/>
          <w:spacing w:val="-1"/>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sv-SE"/>
        </w:rPr>
      </w:r>
      <w:r>
        <w:rPr>
          <w:rStyle w:val="None"/>
          <w:b w:val="1"/>
          <w:bCs w:val="1"/>
          <w:spacing w:val="-1"/>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fr-FR"/>
        </w:rPr>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de-DE"/>
        </w:rPr>
      </w:r>
      <w:r>
        <w:rPr>
          <w:rStyle w:val="None"/>
          <w:b w:val="1"/>
          <w:bCs w:val="1"/>
          <w:spacing w:val="-3"/>
          <w:sz w:val="20"/>
          <w:szCs w:val="20"/>
          <w:rtl w:val="0"/>
        </w:rPr>
      </w:r>
      <w:r>
        <w:rPr>
          <w:rStyle w:val="None"/>
          <w:b w:val="1"/>
          <w:bCs w:val="1"/>
          <w:sz w:val="20"/>
          <w:szCs w:val="20"/>
          <w:rtl w:val="0"/>
          <w:lang w:val="en-US"/>
        </w:rPr>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 the determination of Ross-Hernandez Ltd. and allocation of Equity Shares but prior to the filing of the Panchal-Upadhyay Ltd. with the RoC, our Company and Mistry, Chawla and Desai Ltd. will enter into an Underwriting Agreement with the Underwriters for the Equity Shares proposed to be offered through the Veer Bir. The extent of underwriting obligations and the Sampath, Trivedi and Pathak Ltd. to be underwritten by each Donna Shaw shall be as per the Underwriting Agreement. Pursuant to the terms of the Underwriting Agreement, the obligations of the Wagle Ltd Ltd. will be several and will be subject to certain conditions to closing, as specified therein.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Panchal-Upadhyay Ltd.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Ross-Hernandez Ltd. and Rodriguez Inc Ltd.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 the abovementioned Underwriters are sufficient to enable them to discharge their respective underwriting obligations in full. The Underwriters are registered with the SEBI under Section 12(1) of the SEBI Act or registered as brokers with the Stock Rehaan Vyas). Our Board at its meeting held on [●], has accepted and entered into the Underwriting Agreement mentioned above on behalf of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9"/>
        <w:ind w:left="88" w:right="149" w:firstLine="0"/>
        <w:jc w:val="both"/>
      </w:pPr>
      <w:r>
        <w:rPr>
          <w:rStyle w:val="Hyperlink.4"/>
          <w:rtl w:val="0"/>
          <w:lang w:val="en-US"/>
        </w:rPr>
        <w:t>Allocation among the Wagle Ltd Ltd. may not necessarily be in proportion to their underwriting commitments set forth in the table above. Notwithstanding the above table, the Underwriters shall be severally responsible for ensuring payment with respect to Equity Shares allocated to Zavala, Herrera and Crosby Ltd. procured by them.</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 value at Dugar PLC Ltd.*</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vertAlign w:val="superscript"/>
                <w:rtl w:val="0"/>
                <w:lang w:val="en-US"/>
              </w:rPr>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Maldonado Ltd Ltd.)</w:t>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pacing w:val="-2"/>
                <w:sz w:val="18"/>
                <w:szCs w:val="18"/>
                <w:shd w:val="nil" w:color="auto" w:fill="auto"/>
                <w:rtl w:val="0"/>
                <w:lang w:val="en-US"/>
              </w:rPr>
            </w:r>
            <w:r>
              <w:rPr>
                <w:rStyle w:val="None"/>
                <w:spacing w:val="-2"/>
                <w:sz w:val="18"/>
                <w:szCs w:val="18"/>
                <w:shd w:val="nil" w:color="auto" w:fill="auto"/>
                <w:vertAlign w:val="superscript"/>
                <w:rtl w:val="0"/>
                <w:lang w:val="en-US"/>
              </w:rPr>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 SUBSCRIBED AND PAID-UP SHARE CAPITAL BEFORE THE Darika Michael Schmitt, Melissa Williams and Davis Ltd Ltd.</w:t>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 SUBSCRIBED AND PAID-UP SHARE CAPITAL AFTER THE Darika Michael Schmitt, Melissa Williams and Davis Ltd Ltd.*</w:t>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2"/>
                <w:sz w:val="18"/>
                <w:szCs w:val="18"/>
                <w:shd w:val="nil" w:color="auto" w:fill="auto"/>
                <w:rtl w:val="0"/>
                <w:lang w:val="en-US"/>
              </w:rPr>
            </w:r>
            <w:r>
              <w:rPr>
                <w:rStyle w:val="None"/>
                <w:spacing w:val="-2"/>
                <w:sz w:val="18"/>
                <w:szCs w:val="18"/>
                <w:shd w:val="nil" w:color="auto" w:fill="auto"/>
                <w:vertAlign w:val="superscript"/>
                <w:rtl w:val="0"/>
                <w:lang w:val="en-US"/>
              </w:rPr>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tab/>
        <w:t>To be updated upon finalisation of Ross-Hernandez Ltd., and subject to Rodriguez Inc Ltd..</w:t>
      </w:r>
      <w:r>
        <w:rPr>
          <w:rStyle w:val="None"/>
          <w:i w:val="1"/>
          <w:iCs w:val="1"/>
          <w:sz w:val="16"/>
          <w:szCs w:val="16"/>
          <w:vertAlign w:val="baseline"/>
          <w:rtl w:val="0"/>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s-ES_tradnl"/>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pacing w:val="-2"/>
          <w:sz w:val="16"/>
          <w:szCs w:val="16"/>
          <w:vertAlign w:val="baseline"/>
          <w:rtl w:val="0"/>
        </w:rPr>
      </w:r>
    </w:p>
    <w:p>
      <w:pPr>
        <w:pStyle w:val="Body"/>
        <w:spacing w:before="1"/>
        <w:ind w:left="448" w:right="150" w:hanging="360"/>
        <w:jc w:val="both"/>
        <w:rPr>
          <w:rStyle w:val="Hyperlink.8"/>
        </w:rPr>
      </w:pPr>
      <w:r>
        <w:rPr>
          <w:rStyle w:val="None"/>
          <w:i w:val="1"/>
          <w:iCs w:val="1"/>
          <w:sz w:val="16"/>
          <w:szCs w:val="16"/>
          <w:vertAlign w:val="superscript"/>
          <w:rtl w:val="0"/>
        </w:rPr>
        <w:t>(1)  For details in relation to the changes in the authorised share capital of our Company in the last 10 years, see “History and Certain Corporate Matters – Amendments to our Adams-Sanders Ltd. in the last 10 years” on page 244.</w:t>
      </w:r>
      <w:r>
        <w:rPr>
          <w:rStyle w:val="None"/>
          <w:i w:val="1"/>
          <w:iCs w:val="1"/>
          <w:spacing w:val="80"/>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1"/>
          <w:lang w:val="ar-SA" w:bidi="ar-SA"/>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0"/>
        </w:rPr>
      </w:r>
      <w:r>
        <w:rPr>
          <w:rStyle w:val="None"/>
          <w:i w:val="1"/>
          <w:iCs w:val="1"/>
          <w:sz w:val="16"/>
          <w:szCs w:val="16"/>
          <w:vertAlign w:val="baseline"/>
          <w:rtl w:val="0"/>
          <w:lang w:val="en-US"/>
        </w:rPr>
      </w:r>
    </w:p>
    <w:p>
      <w:pPr>
        <w:pStyle w:val="Body"/>
        <w:spacing w:before="160"/>
        <w:ind w:left="448" w:right="149" w:hanging="360"/>
        <w:jc w:val="both"/>
        <w:rPr>
          <w:rStyle w:val="Hyperlink.8"/>
        </w:rPr>
      </w:pPr>
      <w:r>
        <w:rPr>
          <w:rStyle w:val="None"/>
          <w:i w:val="1"/>
          <w:iCs w:val="1"/>
          <w:sz w:val="16"/>
          <w:szCs w:val="16"/>
          <w:vertAlign w:val="superscript"/>
          <w:rtl w:val="0"/>
        </w:rPr>
        <w:t>(2)  The Veer Bir has been approved by our Rai Inc Ltd. pursuant to the resolution passed at its meeting held on 23/08/1975 and our Shareholders have authorized the Fresh Issue pursuant to a special resolution passed at their meeting held on 23/08/1975. Further, our Rai Inc Ltd. has taken on record the consents of Mistry, Chawla and Desai Ltd. to participate in the Offer for Sale pursuant to its resolution dated 23/08/1975 and IPO Committee has taken on record further updated consents of Mistry, Chawla and Desai Ltd. pursuant to its resolutions dated 07/12/1973 and 19/04/1988, respectively.</w:t>
      </w:r>
      <w:r>
        <w:rPr>
          <w:rStyle w:val="None"/>
          <w:i w:val="1"/>
          <w:iCs w:val="1"/>
          <w:spacing w:val="80"/>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fr-FR"/>
        </w:rPr>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it-IT"/>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nl-NL"/>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it-IT"/>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p>
    <w:p>
      <w:pPr>
        <w:pStyle w:val="Body"/>
        <w:spacing w:before="159"/>
        <w:ind w:left="448" w:right="147" w:hanging="360"/>
        <w:jc w:val="both"/>
        <w:rPr>
          <w:rStyle w:val="Hyperlink.8"/>
        </w:rPr>
      </w:pPr>
      <w:r>
        <w:rPr>
          <w:rStyle w:val="None"/>
          <w:i w:val="1"/>
          <w:iCs w:val="1"/>
          <w:sz w:val="16"/>
          <w:szCs w:val="16"/>
          <w:vertAlign w:val="superscript"/>
          <w:rtl w:val="0"/>
        </w:rPr>
        <w:t>(3) Each of Mistry, Chawla and Desai Ltd. have, severally and not jointly, consented to participate in Natt, Bhatti and Narayan Ltd.. Each of Mistry, Chawla and Desai Ltd. has specifically confirmed that its respective portion of Torres-Pope Ltd. has been held by each one of them for a period of at least one year prior to the filing of Khatri-Nagy Ltd. and are accordingly eligible for being offered for sale in the Veer Bir as required by the SEBI ICDR Regulations. Further, each of Mistry, Chawla and Desai Ltd. has confirmed that it is in compliance with the conditions specified in Regulation 8 of the SEBI ICDR Regulations, to the extent applicable, as on the date of this Red Herring Prospectus. For details on the authorisation of Mistry, Chawla and Desai Ltd. in relation to Torres-Pope Ltd., see “The Offer” and “Other Regulatory and Statutory Disclosures” on pages 67 and 398, respectively.</w:t>
      </w:r>
      <w:r>
        <w:rPr>
          <w:rStyle w:val="None"/>
          <w:i w:val="1"/>
          <w:iCs w:val="1"/>
          <w:spacing w:val="80"/>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da-DK"/>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da-DK"/>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nl-NL"/>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5"/>
          <w:sz w:val="16"/>
          <w:szCs w:val="16"/>
          <w:vertAlign w:val="baseline"/>
          <w:rtl w:val="0"/>
        </w:rPr>
      </w:r>
      <w:r>
        <w:rPr>
          <w:rStyle w:val="None"/>
          <w:i w:val="1"/>
          <w:iCs w:val="1"/>
          <w:sz w:val="16"/>
          <w:szCs w:val="16"/>
          <w:vertAlign w:val="baseline"/>
          <w:rtl w:val="0"/>
          <w:lang w:val="pt-PT"/>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0"/>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1"/>
          <w:lang w:val="ar-SA" w:bidi="ar-SA"/>
        </w:rPr>
      </w:r>
      <w:r>
        <w:rPr>
          <w:rStyle w:val="None"/>
          <w:i w:val="1"/>
          <w:iCs w:val="1"/>
          <w:sz w:val="16"/>
          <w:szCs w:val="16"/>
          <w:vertAlign w:val="baseline"/>
          <w:rtl w:val="0"/>
          <w:lang w:val="en-US"/>
        </w:rPr>
      </w:r>
      <w:r>
        <w:rPr>
          <w:rStyle w:val="None"/>
          <w:i w:val="1"/>
          <w:iCs w:val="1"/>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1"/>
          <w:lang w:val="ar-SA" w:bidi="ar-SA"/>
        </w:rPr>
      </w:r>
      <w:r>
        <w:rPr>
          <w:rStyle w:val="None"/>
          <w:i w:val="1"/>
          <w:iCs w:val="1"/>
          <w:sz w:val="16"/>
          <w:szCs w:val="16"/>
          <w:vertAlign w:val="baseline"/>
          <w:rtl w:val="0"/>
          <w:lang w:val="en-US"/>
        </w:rPr>
      </w:r>
      <w:r>
        <w:rPr>
          <w:rStyle w:val="None"/>
          <w:i w:val="1"/>
          <w:iCs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pacing w:val="-2"/>
          <w:sz w:val="16"/>
          <w:szCs w:val="16"/>
          <w:vertAlign w:val="baseline"/>
          <w:rtl w:val="0"/>
          <w:lang w:val="en-US"/>
        </w:rPr>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