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jp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81bafeacd3f4258" /><Relationship Type="http://schemas.openxmlformats.org/package/2006/relationships/metadata/core-properties" Target="/docProps/core.xml" Id="R805a3f140f5d405a" /><Relationship Type="http://schemas.openxmlformats.org/officeDocument/2006/relationships/extended-properties" Target="/docProps/app.xml" Id="R89903d0f44a74f7a" /><Relationship Type="http://schemas.openxmlformats.org/officeDocument/2006/relationships/custom-properties" Target="/docProps/custom.xml" Id="Rf1c7ec05c0474d67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4" w14:textId="00100005">
      <w:pPr>
        <w:spacing w:after="160"/>
      </w:pPr>
      <w:r>
        <w:rPr>
          <w:b/>
          <w:color w:val="0F62FE"/>
          <w:sz w:val="44"/>
        </w:rPr>
        <w:t xml:space="preserve">Como a arquitetura muda com Azure API Management como AI Gateway</w:t>
      </w:r>
    </w:p>
    <w:p w14:paraId="00100006" w14:textId="00100007">
      <w:pPr>
        <w:pStyle w:val="Normal"/>
        <w:spacing w:after="160"/>
      </w:pPr>
      <w:r>
        <w:rPr/>
        <w:t xml:space="preserve">Documento complementar à Ata de Demonstração. Parte do diagrama Telefônica/Vivo que o laboratório ainda não instancia como produto: o Azure API Management (APIM) no papel de PEP / AI Gateway, consultando o Ping Authorize como PDP. A malha leste-oeste no alvo do cliente é Istio (não Consul). O restante do desenho — IdP, agente, LLM, MCP, cofre, banco — permanece.</w:t>
      </w:r>
    </w:p>
    <w:p w14:paraId="00100008" w14:textId="00100009">
      <w:pPr>
        <w:spacing w:before="360" w:after="160"/>
      </w:pPr>
      <w:r>
        <w:rPr>
          <w:b/>
          <w:color w:val="0F62FE"/>
          <w:sz w:val="40"/>
        </w:rPr>
        <w:t xml:space="preserve">1. O que o laboratório já é</w:t>
      </w:r>
    </w:p>
    <w:p w14:paraId="0010000A" w14:textId="0010000B">
      <w:pPr>
        <w:pStyle w:val="Normal"/>
        <w:spacing w:after="160"/>
      </w:pPr>
      <w:r>
        <w:rPr/>
        <w:t xml:space="preserve">Hoje o PEP está distribuído na malha Consul: o Consul API Gateway é o único norte-sul do canal (web) e do IdP/CIBA; cada sidecar Envoy autentica mTLS SPIFFE e aplica Service Intentions; o inbound de user-mcp chama opa-mcp-authz (ext_authz) e o ai-agent pode consultar opa-gov-api via Lua. O PDP de LoA/CIBA vive em user-mcp + ACL Vault. Isso atende o caderno por equivalência, mas não é o APIM do diagrama nem a malha Istio da plataforma alvo.</w:t>
      </w:r>
    </w:p>
    <w:p w14:paraId="0010000C" w14:textId="0010000D">
      <w:pPr/>
      <w:r>
        <w:drawing>
          <wp:inline distT="0" distB="0" distL="0" distR="0">
            <wp:extent cx="5940000" cy="4309980"/>
            <wp:effectExtent l="0" t="0" r="0" b="0"/>
            <wp:docPr id="1" name="Diagrama Telefônica com Azure APIM no centro" descr="Diagrama Telefônica com Azure APIM no centr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agrama Telefônica com Azure APIM no centro"/>
                    <pic:cNvPicPr/>
                  </pic:nvPicPr>
                  <pic:blipFill>
                    <a:blip r:embed="R91dcf46e5baf4fe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0000E" w14:textId="0010000F">
      <w:pPr>
        <w:spacing w:before="80" w:after="200"/>
      </w:pPr>
      <w:r>
        <w:rPr>
          <w:i/>
          <w:color w:val="525252"/>
          <w:sz w:val="18"/>
        </w:rPr>
        <w:t xml:space="preserve">Figura 1 — Alvo do cliente: todo JWT e mTLS de agente passam pelo Azure APIM, que consulta o Ping Authorize. Atrás do APIM, o leste-oeste corre em Istio.</w:t>
      </w:r>
    </w:p>
    <w:p w14:paraId="00100010" w14:textId="00100011">
      <w:pPr>
        <w:spacing w:before="360" w:after="160"/>
      </w:pPr>
      <w:r>
        <w:rPr>
          <w:b/>
          <w:color w:val="0F62FE"/>
          <w:sz w:val="40"/>
        </w:rPr>
        <w:t xml:space="preserve">2. O que muda se o PEP de borda for o APIM</w:t>
      </w:r>
    </w:p>
    <w:p w14:paraId="00100012" w14:textId="00100013">
      <w:pPr>
        <w:pStyle w:val="Normal"/>
        <w:spacing w:after="160"/>
      </w:pPr>
      <w:r>
        <w:rPr/>
        <w:t xml:space="preserve">São duas substituições, não uma. Norte-sul: o APIM assume o PEP que o caderno atribui ao AI Gateway (no laboratório isso é o Consul API Gateway). Leste-oeste: Istio substitui o Consul Connect — mTLS STRICT, identidade SPIFFE no ServiceAccount, AuthorizationPolicy fail-closed — atrás do APIM. O APIM não substitui a malha; o Consul não permanece no alvo.</w:t>
      </w:r>
    </w:p>
    <w:p w14:paraId="00100014" w14:textId="00100015">
      <w:pPr>
        <w:spacing w:before="280" w:after="120"/>
      </w:pPr>
      <w:r>
        <w:rPr>
          <w:b/>
          <w:color w:val="161616"/>
          <w:sz w:val="28"/>
        </w:rPr>
        <w:t xml:space="preserve">2.1 Norte-sul no APIM (novo PEP)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Movimentação de controles para o APIM"/>
      </w:tblPr>
      <w:tblGrid>
        <w:gridCol w:w="2400"/>
        <w:gridCol w:w="2800"/>
        <w:gridCol w:w="4200"/>
      </w:tblGrid>
      <w:tr>
        <w:tc>
          <w:p w14:paraId="00100016" w14:textId="00100017">
            <w:r>
              <w:t xml:space="preserve">Controle do caderno</w:t>
            </w:r>
          </w:p>
        </w:tc>
        <w:tc>
          <w:p w14:paraId="00100018" w14:textId="00100019">
            <w:r>
              <w:t xml:space="preserve">Onde fica hoje (lab Consul)</w:t>
            </w:r>
          </w:p>
        </w:tc>
        <w:tc>
          <w:p w14:paraId="0010001A" w14:textId="0010001B">
            <w:r>
              <w:t xml:space="preserve">Onde fica com APIM + Istio</w:t>
            </w:r>
          </w:p>
        </w:tc>
      </w:tr>
      <w:tr>
        <w:tc>
          <w:p w14:paraId="0010001C" w14:textId="0010001D">
            <w:r>
              <w:t xml:space="preserve">Validação JWT (CT-01.5, 04.2)</w:t>
            </w:r>
          </w:p>
        </w:tc>
        <w:tc>
          <w:p w14:paraId="0010001E" w14:textId="0010001F">
            <w:r>
              <w:t xml:space="preserve">user-mcp / token-exchange</w:t>
            </w:r>
          </w:p>
        </w:tc>
        <w:tc>
          <w:p w14:paraId="00100020" w14:textId="00100021">
            <w:r>
              <w:t xml:space="preserve">Política validate-jwt no inbound do APIM (JWKS do IdP) + defesa em profundidade no MCP</w:t>
            </w:r>
          </w:p>
        </w:tc>
      </w:tr>
      <w:tr>
        <w:tc>
          <w:p w14:paraId="00100022" w14:textId="00100023">
            <w:r>
              <w:t xml:space="preserve">mTLS de workload (CT-02.x)</w:t>
            </w:r>
          </w:p>
        </w:tc>
        <w:tc>
          <w:p w14:paraId="00100024" w14:textId="00100025">
            <w:r>
              <w:t xml:space="preserve">Consul Connect</w:t>
            </w:r>
          </w:p>
        </w:tc>
        <w:tc>
          <w:p w14:paraId="00100026" w14:textId="00100027">
            <w:r>
              <w:t xml:space="preserve">Inbound APIM: certificado cliente obrigatório; ACL de thumbprint/CN (agente-generalista-prod). Leste-oeste: PeerAuthentication STRICT no Istio</w:t>
            </w:r>
          </w:p>
        </w:tc>
      </w:tr>
      <w:tr>
        <w:tc>
          <w:p w14:paraId="00100028" w14:textId="00100029">
            <w:r>
              <w:t xml:space="preserve">Consulta PDP ALLOW/DENY/STEP_UP</w:t>
            </w:r>
          </w:p>
        </w:tc>
        <w:tc>
          <w:p w14:paraId="0010002A" w14:textId="0010002B">
            <w:r>
              <w:t xml:space="preserve">OPA + Vault ACL</w:t>
            </w:r>
          </w:p>
        </w:tc>
        <w:tc>
          <w:p w14:paraId="0010002C" w14:textId="0010002D">
            <w:r>
              <w:t xml:space="preserve">Política send-request ao Ping Authorize; APIM aplica a decisão</w:t>
            </w:r>
          </w:p>
        </w:tc>
      </w:tr>
      <w:tr>
        <w:tc>
          <w:p w14:paraId="0010002E" w14:textId="0010002F">
            <w:r>
              <w:t xml:space="preserve">Cabeçalho step_up (CT-05.1)</w:t>
            </w:r>
          </w:p>
        </w:tc>
        <w:tc>
          <w:p w14:paraId="00100030" w14:textId="00100031">
            <w:r>
              <w:t xml:space="preserve">Tool bloqueante CIBA</w:t>
            </w:r>
          </w:p>
        </w:tc>
        <w:tc>
          <w:p w14:paraId="00100032" w14:textId="00100033">
            <w:r>
              <w:t xml:space="preserve">APIM devolve 401 WWW-Authenticate: Bearer step_up_required, loa=N</w:t>
            </w:r>
          </w:p>
        </w:tc>
      </w:tr>
      <w:tr>
        <w:tc>
          <w:p w14:paraId="00100034" w14:textId="00100035">
            <w:r>
              <w:t xml:space="preserve">Fail-closed (CT-06.2)</w:t>
            </w:r>
          </w:p>
        </w:tc>
        <w:tc>
          <w:p w14:paraId="00100036" w14:textId="00100037">
            <w:r>
              <w:t xml:space="preserve">ext_authz statusOnError=403</w:t>
            </w:r>
          </w:p>
        </w:tc>
        <w:tc>
          <w:p w14:paraId="00100038" w14:textId="00100039">
            <w:r>
              <w:t xml:space="preserve">APIM: backend Ping indisponível → 503, sem forward ao agente/MCP</w:t>
            </w:r>
          </w:p>
        </w:tc>
      </w:tr>
      <w:tr>
        <w:tc>
          <w:p w14:paraId="0010003A" w14:textId="0010003B">
            <w:r>
              <w:t xml:space="preserve">Auditoria (CT-06.1)</w:t>
            </w:r>
          </w:p>
        </w:tc>
        <w:tc>
          <w:p w14:paraId="0010003C" w14:textId="0010003D">
            <w:r>
              <w:t xml:space="preserve">logs JSON dos pods</w:t>
            </w:r>
          </w:p>
        </w:tc>
        <w:tc>
          <w:p w14:paraId="0010003E" w14:textId="0010003F">
            <w:r>
              <w:t xml:space="preserve">APIM diagnostic logs + correlação com Application Insights; ainda emitir pdp_decision no MCP</w:t>
            </w:r>
          </w:p>
        </w:tc>
      </w:tr>
      <w:tr>
        <w:tc>
          <w:p w14:paraId="00100040" w14:textId="00100041">
            <w:r>
              <w:t xml:space="preserve">JWT segue na chamada às APIs</w:t>
            </w:r>
          </w:p>
        </w:tc>
        <w:tc>
          <w:p w14:paraId="00100042" w14:textId="00100043">
            <w:r>
              <w:t xml:space="preserve">OBO/CIBA no Authorization</w:t>
            </w:r>
          </w:p>
        </w:tc>
        <w:tc>
          <w:p w14:paraId="00100044" w14:textId="00100045">
            <w:r>
              <w:t xml:space="preserve">Política set-header: o mesmo JWT (ou token trocado) vai ao MCP / API Sistemas</w:t>
            </w:r>
          </w:p>
        </w:tc>
      </w:tr>
    </w:tbl>
    <w:p w14:paraId="00100046" w14:textId="00100047">
      <w:pPr>
        <w:spacing w:before="280" w:after="120"/>
      </w:pPr>
      <w:r>
        <w:rPr>
          <w:b/>
          <w:color w:val="161616"/>
          <w:sz w:val="28"/>
        </w:rPr>
        <w:t xml:space="preserve">2.2 O que não deve migrar para o APIM</w:t>
      </w:r>
    </w:p>
    <w:p w14:paraId="00100048" w14:textId="00100049">
      <w:pPr>
        <w:pStyle w:val="Normal"/>
        <w:spacing w:after="160"/>
      </w:pPr>
      <w:r>
        <w:rPr/>
        <w:t xml:space="preserve">Cofre de senhas (Vault) continua emitindo database/creds por JWT — o APIM não deve conhecer a senha do Postgres. O MCP continua sendo o PEP de ferramenta (escopo users.read/write, catálogo de tools). O LLM continua atrás de um gateway (LiteLLM hoje; Azure OpenAI/APIM LLM backend amanhã) com mTLS do sidecar Istio. CIBA/HITL continua no IdP: o APIM só sinaliza STEP_UP; quem sobe o LoA é o Keycloak (ou o IdP corporativo).</w:t>
      </w:r>
    </w:p>
    <w:p w14:paraId="0010004A" w14:textId="0010004B">
      <w:pPr>
        <w:spacing w:before="280" w:after="120"/>
      </w:pPr>
      <w:r>
        <w:rPr>
          <w:b/>
          <w:color w:val="161616"/>
          <w:sz w:val="28"/>
        </w:rPr>
        <w:t xml:space="preserve">2.3 Leste-oeste: Istio no lugar do Consul</w:t>
      </w:r>
    </w:p>
    <w:p w14:paraId="0010004C" w14:textId="0010004D">
      <w:pPr>
        <w:pStyle w:val="Normal"/>
        <w:spacing w:after="160"/>
      </w:pPr>
      <w:r>
        <w:rPr/>
        <w:t xml:space="preserve">O laboratório prova os controles com Consul Connect. No alvo Telefônica/Vivo a malha é Istio (sidecars Envoy injetados pelo istiod, o mesmo data plane). Consul Intentions default-deny; Istio AuthorizationPolicy default-allow se não houver política — por isso o namespace da carga precisa de um deny-all + ALLOW explícitos, senão CT-02.2/02.4 ficam abertos.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Tradução Consul → Istio dos controles de malha"/>
      </w:tblPr>
      <w:tblGrid>
        <w:gridCol w:w="3200"/>
        <w:gridCol w:w="4000"/>
        <w:gridCol w:w="2200"/>
      </w:tblGrid>
      <w:tr>
        <w:tc>
          <w:p w14:paraId="0010004E" w14:textId="0010004F">
            <w:r>
              <w:t xml:space="preserve">Controle no laboratório (Consul)</w:t>
            </w:r>
          </w:p>
        </w:tc>
        <w:tc>
          <w:p w14:paraId="00100050" w14:textId="00100051">
            <w:r>
              <w:t xml:space="preserve">Equivalente no alvo (Istio)</w:t>
            </w:r>
          </w:p>
        </w:tc>
        <w:tc>
          <w:p w14:paraId="00100052" w14:textId="00100053">
            <w:r>
              <w:t xml:space="preserve">CT</w:t>
            </w:r>
          </w:p>
        </w:tc>
      </w:tr>
      <w:tr>
        <w:tc>
          <w:p w14:paraId="00100054" w14:textId="00100055">
            <w:r>
              <w:t xml:space="preserve">Consul API Gateway (norte-sul)</w:t>
            </w:r>
          </w:p>
        </w:tc>
        <w:tc>
          <w:p w14:paraId="00100056" w14:textId="00100057">
            <w:r>
              <w:t xml:space="preserve">Azure APIM; Istio Ingress só para tráfego cluster-interno, se houver</w:t>
            </w:r>
          </w:p>
        </w:tc>
        <w:tc>
          <w:p w14:paraId="00100058" w14:textId="00100059">
            <w:r>
              <w:t xml:space="preserve">01.5 / 02.4</w:t>
            </w:r>
          </w:p>
        </w:tc>
      </w:tr>
      <w:tr>
        <w:tc>
          <w:p w14:paraId="0010005A" w14:textId="0010005B">
            <w:r>
              <w:t xml:space="preserve">Consul Connect mTLS</w:t>
            </w:r>
          </w:p>
        </w:tc>
        <w:tc>
          <w:p w14:paraId="0010005C" w14:textId="0010005D">
            <w:r>
              <w:t xml:space="preserve">PeerAuthentication mode: STRICT em todo o namespace da carga</w:t>
            </w:r>
          </w:p>
        </w:tc>
        <w:tc>
          <w:p w14:paraId="0010005E" w14:textId="0010005F">
            <w:r>
              <w:t xml:space="preserve">02.1</w:t>
            </w:r>
          </w:p>
        </w:tc>
      </w:tr>
      <w:tr>
        <w:tc>
          <w:p w14:paraId="00100060" w14:textId="00100061">
            <w:r>
              <w:t xml:space="preserve">SPIFFE = service name Consul</w:t>
            </w:r>
          </w:p>
        </w:tc>
        <w:tc>
          <w:p w14:paraId="00100062" w14:textId="00100063">
            <w:r>
              <w:t xml:space="preserve">SPIFFE = spiffe://&lt;trust-domain&gt;/ns/&lt;ns&gt;/sa/&lt;serviceaccount&gt;</w:t>
            </w:r>
          </w:p>
        </w:tc>
        <w:tc>
          <w:p w14:paraId="00100064" w14:textId="00100065">
            <w:r>
              <w:t xml:space="preserve">02.1</w:t>
            </w:r>
          </w:p>
        </w:tc>
      </w:tr>
      <w:tr>
        <w:tc>
          <w:p w14:paraId="00100066" w14:textId="00100067">
            <w:r>
              <w:t xml:space="preserve">Service Intentions allow/deny implícito</w:t>
            </w:r>
          </w:p>
        </w:tc>
        <w:tc>
          <w:p w14:paraId="00100068" w14:textId="00100069">
            <w:r>
              <w:t xml:space="preserve">AuthorizationPolicy: deny-all no namespace + ALLOW por principal (SA do APIM, ai-agent, user-mcp…)</w:t>
            </w:r>
          </w:p>
        </w:tc>
        <w:tc>
          <w:p w14:paraId="0010006A" w14:textId="0010006B">
            <w:r>
              <w:t xml:space="preserve">02.2 / 02.4</w:t>
            </w:r>
          </w:p>
        </w:tc>
      </w:tr>
      <w:tr>
        <w:tc>
          <w:p w14:paraId="0010006C" w14:textId="0010006D">
            <w:r>
              <w:t xml:space="preserve">CA do Consul / rotação de cert sidecar</w:t>
            </w:r>
          </w:p>
        </w:tc>
        <w:tc>
          <w:p w14:paraId="0010006E" w14:textId="0010006F">
            <w:r>
              <w:t xml:space="preserve">CA do istiod (ou mesh trust domain corporativo); rotação automática do SDS</w:t>
            </w:r>
          </w:p>
        </w:tc>
        <w:tc>
          <w:p w14:paraId="00100070" w14:textId="00100071">
            <w:r>
              <w:t xml:space="preserve">02.3</w:t>
            </w:r>
          </w:p>
        </w:tc>
      </w:tr>
      <w:tr>
        <w:tc>
          <w:p w14:paraId="00100072" w14:textId="00100073">
            <w:r>
              <w:t xml:space="preserve">Envoy ext_authz → opa-mcp-authz</w:t>
            </w:r>
          </w:p>
        </w:tc>
        <w:tc>
          <w:p w14:paraId="00100074" w14:textId="00100075">
            <w:r>
              <w:t xml:space="preserve">Sidecar Istio + EnvoyFilter / ext_authz (OPA continua; não vai para o Ping)</w:t>
            </w:r>
          </w:p>
        </w:tc>
        <w:tc>
          <w:p w14:paraId="00100076" w14:textId="00100077">
            <w:r>
              <w:t xml:space="preserve">04.3 / 06.2</w:t>
            </w:r>
          </w:p>
        </w:tc>
      </w:tr>
      <w:tr>
        <w:tc>
          <w:p w14:paraId="00100078" w14:textId="00100079">
            <w:r>
              <w:t xml:space="preserve">service-defaults Lua → opa-gov-api</w:t>
            </w:r>
          </w:p>
        </w:tc>
        <w:tc>
          <w:p w14:paraId="0010007A" w14:textId="0010007B">
            <w:r>
              <w:t xml:space="preserve">EnvoyFilter Istio no inbound/outbound do ai-agent (prompt/PII)</w:t>
            </w:r>
          </w:p>
        </w:tc>
        <w:tc>
          <w:p w14:paraId="0010007C" w14:textId="0010007D">
            <w:r>
              <w:t xml:space="preserve">06.2</w:t>
            </w:r>
          </w:p>
        </w:tc>
      </w:tr>
    </w:tbl>
    <w:p w14:paraId="0010007E" w14:textId="0010007F">
      <w:pPr>
        <w:pStyle w:val="Normal"/>
        <w:spacing w:after="160"/>
      </w:pPr>
      <w:r>
        <w:rPr/>
        <w:t xml:space="preserve">Identidade de workload no Ping/APIM: o CN X.509 do caderno (agente-generalista-prod) no norte-sul; o SAN SPIFFE do ServiceAccount no leste-oeste. Não reutilizar o service name Consul como se fosse Istio.</w:t>
      </w:r>
    </w:p>
    <w:p w14:paraId="00100080" w14:textId="00100081">
      <w:pPr>
        <w:spacing w:before="360" w:after="160"/>
      </w:pPr>
      <w:r>
        <w:rPr>
          <w:b/>
          <w:color w:val="0F62FE"/>
          <w:sz w:val="40"/>
        </w:rPr>
        <w:t xml:space="preserve">3. Fluxo alvo (canal → APIM → PDP → agente → MCP)</w:t>
      </w:r>
    </w:p>
    <w:p w14:paraId="00100082" w14:textId="00100083">
      <w:r>
        <w:drawing xmlns:w="http://schemas.openxmlformats.org/wordprocessingml/2006/main" xmlns:wp="http://schemas.openxmlformats.org/drawingml/2006/wordprocessingDrawing" xmlns:a="http://schemas.openxmlformats.org/drawingml/2006/main" xmlns:wpg="http://schemas.microsoft.com/office/word/2010/wordprocessingGroup" xmlns:wps="http://schemas.microsoft.com/office/word/2010/wordprocessingShape">
          <wp:anchor distT="0" distB="0" distL="0" distR="0" simplePos="0" relativeHeight="2510000" behindDoc="0" locked="0" layoutInCell="1" allowOverlap="1">
            <wp:simplePos x="0" y="0"/>
            <wp:positionH relativeFrom="margin">
              <wp:posOffset>140488</wp:posOffset>
            </wp:positionH>
            <wp:positionV relativeFrom="margin">
              <wp:posOffset>140488</wp:posOffset>
            </wp:positionV>
            <wp:extent cx="5479025" cy="1362147"/>
            <wp:effectExtent l="0" t="0" r="0" b="0"/>
            <wp:wrapNone/>
            <wp:docPr id="34" name="Diagram 34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5479025" cy="1362147"/>
                      <a:chOff x="0" y="0"/>
                      <a:chExt cx="5479025" cy="1362147"/>
                    </a:xfrm>
                  </wpg:grpSpPr>
                  <wps:wsp>
                    <wps:cNvPr id="2" name="DiagramShape 2"/>
                    <wps:cNvSpPr/>
                    <wps:spPr>
                      <a:xfrm>
                        <a:off x="0" y="1066536"/>
                        <a:ext cx="362927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C6" w14:textId="001000C7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Cliente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3" name="DiagramShape 3"/>
                    <wps:cNvSpPr/>
                    <wps:spPr>
                      <a:xfrm>
                        <a:off x="526829" y="1030244"/>
                        <a:ext cx="702439" cy="227122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C8" w14:textId="001000C9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Canal / Agente de Atendimento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4" name="DiagramShape 4"/>
                    <wps:cNvSpPr/>
                    <wps:spPr>
                      <a:xfrm>
                        <a:off x="2095610" y="1066536"/>
                        <a:ext cx="608780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CA" w14:textId="001000CB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IdP / Keycloak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5" name="DiagramShape 5"/>
                    <wps:cNvSpPr/>
                    <wps:spPr>
                      <a:xfrm>
                        <a:off x="2095610" y="675512"/>
                        <a:ext cx="702439" cy="227122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CC" w14:textId="001000CD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Azure APIM / AI Gateway PEP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6" name="DiagramShape 6"/>
                    <wps:cNvSpPr/>
                    <wps:spPr>
                      <a:xfrm>
                        <a:off x="3430244" y="498146"/>
                        <a:ext cx="702439" cy="227122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CE" w14:textId="001000CF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Ping Authorize PDP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7" name="DiagramShape 7"/>
                    <wps:cNvSpPr/>
                    <wps:spPr>
                      <a:xfrm>
                        <a:off x="3430244" y="889171"/>
                        <a:ext cx="538537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D0" w14:textId="001000D1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Agente de IA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8" name="DiagramShape 8"/>
                    <wps:cNvSpPr/>
                    <wps:spPr>
                      <a:xfrm>
                        <a:off x="3430244" y="1207610"/>
                        <a:ext cx="280976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D2" w14:textId="001000D3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LLM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9" name="DiagramShape 9"/>
                    <wps:cNvSpPr/>
                    <wps:spPr>
                      <a:xfrm>
                        <a:off x="3430244" y="179707"/>
                        <a:ext cx="538537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D4" w14:textId="001000D5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Servidor MCP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10" name="DiagramShape 10"/>
                    <wps:cNvSpPr/>
                    <wps:spPr>
                      <a:xfrm>
                        <a:off x="4905366" y="0"/>
                        <a:ext cx="573659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D6" w14:textId="001000D7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Vault / Cofre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11" name="DiagramShape 11"/>
                    <wps:cNvSpPr/>
                    <wps:spPr>
                      <a:xfrm>
                        <a:off x="4905366" y="318439"/>
                        <a:ext cx="398049" cy="236488"/>
                      </a:xfrm>
                      <a:prstGeom prst="can">
                        <a:avLst/>
                      </a:prstGeom>
                      <a:solidFill>
                        <a:srgbClr val="E1D5E7"/>
                      </a:solidFill>
                      <a:ln w="9525">
                        <a:solidFill>
                          <a:srgbClr val="9673A6"/>
                        </a:solidFill>
                      </a:ln>
                    </wps:spPr>
                    <wps:txbx>
                      <w:txbxContent>
                        <w:p w14:paraId="001000D8" w14:textId="001000D9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Postgres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12" name="DiagramShape 12"/>
                    <wps:cNvSpPr/>
                    <wps:spPr>
                      <a:xfrm>
                        <a:off x="4905366" y="718829"/>
                        <a:ext cx="538537" cy="154537"/>
                      </a:xfrm>
                      <a:prstGeom prst="rect">
                        <a:avLst/>
                      </a:prstGeom>
                      <a:solidFill>
                        <a:srgbClr val="DAE8FC"/>
                      </a:solidFill>
                      <a:ln w="9525">
                        <a:solidFill>
                          <a:srgbClr val="6C8EBF"/>
                        </a:solidFill>
                      </a:ln>
                    </wps:spPr>
                    <wps:txbx>
                      <w:txbxContent>
                        <w:p w14:paraId="001000DA" w14:textId="001000DB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12"/>
                              <w:szCs w:val="12"/>
                            </w:rPr>
                            <w:t xml:space="preserve">API Sistemas</w:t>
                          </w:r>
                        </w:p>
                      </w:txbxContent>
                    </wps:txbx>
                    <wps:bodyPr rot="0" lIns="0" tIns="0" rIns="0" bIns="0" anchor="ctr" anchorCtr="0">
                      <a:normAutofit/>
                    </wps:bodyPr>
                  </wps:wsp>
                  <wps:wsp>
                    <wps:cNvPr id="13" name="DiagramEdge 13"/>
                    <wps:cNvSpPr/>
                    <wps:spPr>
                      <a:xfrm>
                        <a:off x="362927" y="1137455"/>
                        <a:ext cx="163902" cy="12700"/>
                      </a:xfrm>
                      <a:custGeom>
                        <a:avLst/>
                        <a:gdLst/>
                        <a:ahLst/>
                        <a:cxnLst/>
                        <a:rect l="0" t="0" r="163902" b="12700"/>
                        <a:pathLst>
                          <a:path w="163902" h="12700">
                            <a:moveTo>
                              <a:pt x="0" y="6350"/>
                            </a:moveTo>
                            <a:lnTo>
                              <a:pt x="163902" y="635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4" name="DiagramEdge 14"/>
                    <wps:cNvSpPr/>
                    <wps:spPr>
                      <a:xfrm>
                        <a:off x="1229268" y="1118049"/>
                        <a:ext cx="866342" cy="25756"/>
                      </a:xfrm>
                      <a:custGeom>
                        <a:avLst/>
                        <a:gdLst/>
                        <a:ahLst/>
                        <a:cxnLst/>
                        <a:rect l="0" t="0" r="866342" b="25756"/>
                        <a:pathLst>
                          <a:path w="866342" h="25756">
                            <a:moveTo>
                              <a:pt x="0" y="25756"/>
                            </a:moveTo>
                            <a:lnTo>
                              <a:pt x="433171" y="25756"/>
                            </a:lnTo>
                            <a:lnTo>
                              <a:pt x="433171" y="0"/>
                            </a:lnTo>
                            <a:lnTo>
                              <a:pt x="866342" y="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5" name="DiagramEdge 15"/>
                    <wps:cNvSpPr/>
                    <wps:spPr>
                      <a:xfrm>
                        <a:off x="1229268" y="1169561"/>
                        <a:ext cx="866342" cy="31024"/>
                      </a:xfrm>
                      <a:custGeom>
                        <a:avLst/>
                        <a:gdLst/>
                        <a:ahLst/>
                        <a:cxnLst/>
                        <a:rect l="0" t="0" r="866342" b="31024"/>
                        <a:pathLst>
                          <a:path w="866342" h="31024">
                            <a:moveTo>
                              <a:pt x="866342" y="0"/>
                            </a:moveTo>
                            <a:lnTo>
                              <a:pt x="433171" y="0"/>
                            </a:lnTo>
                            <a:lnTo>
                              <a:pt x="433171" y="31024"/>
                            </a:lnTo>
                            <a:lnTo>
                              <a:pt x="0" y="31024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6" name="DiagramEdge 16"/>
                    <wps:cNvSpPr/>
                    <wps:spPr>
                      <a:xfrm>
                        <a:off x="1229268" y="789073"/>
                        <a:ext cx="866342" cy="297951"/>
                      </a:xfrm>
                      <a:custGeom>
                        <a:avLst/>
                        <a:gdLst/>
                        <a:ahLst/>
                        <a:cxnLst/>
                        <a:rect l="0" t="0" r="866342" b="297951"/>
                        <a:pathLst>
                          <a:path w="866342" h="297951">
                            <a:moveTo>
                              <a:pt x="0" y="297951"/>
                            </a:moveTo>
                            <a:lnTo>
                              <a:pt x="433171" y="297951"/>
                            </a:lnTo>
                            <a:lnTo>
                              <a:pt x="433171" y="0"/>
                            </a:lnTo>
                            <a:lnTo>
                              <a:pt x="866342" y="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7" name="DiagramEdge 17"/>
                    <wps:cNvSpPr/>
                    <wps:spPr>
                      <a:xfrm>
                        <a:off x="2798049" y="611707"/>
                        <a:ext cx="632195" cy="154654"/>
                      </a:xfrm>
                      <a:custGeom>
                        <a:avLst/>
                        <a:gdLst/>
                        <a:ahLst/>
                        <a:cxnLst/>
                        <a:rect l="0" t="0" r="632195" b="154654"/>
                        <a:pathLst>
                          <a:path w="632195" h="154654">
                            <a:moveTo>
                              <a:pt x="0" y="154654"/>
                            </a:moveTo>
                            <a:lnTo>
                              <a:pt x="351219" y="154654"/>
                            </a:lnTo>
                            <a:lnTo>
                              <a:pt x="351219" y="0"/>
                            </a:lnTo>
                            <a:lnTo>
                              <a:pt x="632195" y="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8" name="DiagramEdge 18"/>
                    <wps:cNvSpPr/>
                    <wps:spPr>
                      <a:xfrm>
                        <a:off x="2798049" y="811785"/>
                        <a:ext cx="632195" cy="154654"/>
                      </a:xfrm>
                      <a:custGeom>
                        <a:avLst/>
                        <a:gdLst/>
                        <a:ahLst/>
                        <a:cxnLst/>
                        <a:rect l="0" t="0" r="632195" b="154654"/>
                        <a:pathLst>
                          <a:path w="632195" h="154654">
                            <a:moveTo>
                              <a:pt x="0" y="0"/>
                            </a:moveTo>
                            <a:lnTo>
                              <a:pt x="280975" y="0"/>
                            </a:lnTo>
                            <a:lnTo>
                              <a:pt x="280975" y="154654"/>
                            </a:lnTo>
                            <a:lnTo>
                              <a:pt x="632195" y="154654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19" name="DiagramEdge 19"/>
                    <wps:cNvSpPr/>
                    <wps:spPr>
                      <a:xfrm>
                        <a:off x="2798049" y="857210"/>
                        <a:ext cx="632195" cy="427668"/>
                      </a:xfrm>
                      <a:custGeom>
                        <a:avLst/>
                        <a:gdLst/>
                        <a:ahLst/>
                        <a:cxnLst/>
                        <a:rect l="0" t="0" r="632195" b="427668"/>
                        <a:pathLst>
                          <a:path w="632195" h="427668">
                            <a:moveTo>
                              <a:pt x="0" y="0"/>
                            </a:moveTo>
                            <a:lnTo>
                              <a:pt x="351219" y="0"/>
                            </a:lnTo>
                            <a:lnTo>
                              <a:pt x="351219" y="427668"/>
                            </a:lnTo>
                            <a:lnTo>
                              <a:pt x="632195" y="427668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20" name="DiagramEdge 20"/>
                    <wps:cNvSpPr/>
                    <wps:spPr>
                      <a:xfrm>
                        <a:off x="2798049" y="256975"/>
                        <a:ext cx="632195" cy="463961"/>
                      </a:xfrm>
                      <a:custGeom>
                        <a:avLst/>
                        <a:gdLst/>
                        <a:ahLst/>
                        <a:cxnLst/>
                        <a:rect l="0" t="0" r="632195" b="463961"/>
                        <a:pathLst>
                          <a:path w="632195" h="463961">
                            <a:moveTo>
                              <a:pt x="0" y="463961"/>
                            </a:moveTo>
                            <a:lnTo>
                              <a:pt x="280975" y="463961"/>
                            </a:lnTo>
                            <a:lnTo>
                              <a:pt x="280975" y="0"/>
                            </a:lnTo>
                            <a:lnTo>
                              <a:pt x="632195" y="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21" name="DiagramEdge 21"/>
                    <wps:cNvSpPr/>
                    <wps:spPr>
                      <a:xfrm>
                        <a:off x="3968780" y="51512"/>
                        <a:ext cx="936586" cy="159102"/>
                      </a:xfrm>
                      <a:custGeom>
                        <a:avLst/>
                        <a:gdLst/>
                        <a:ahLst/>
                        <a:cxnLst/>
                        <a:rect l="0" t="0" r="936586" b="159102"/>
                        <a:pathLst>
                          <a:path w="936586" h="159102">
                            <a:moveTo>
                              <a:pt x="0" y="159102"/>
                            </a:moveTo>
                            <a:lnTo>
                              <a:pt x="433171" y="159102"/>
                            </a:lnTo>
                            <a:lnTo>
                              <a:pt x="433171" y="0"/>
                            </a:lnTo>
                            <a:lnTo>
                              <a:pt x="936586" y="0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22" name="DiagramEdge 22"/>
                    <wps:cNvSpPr/>
                    <wps:spPr>
                      <a:xfrm>
                        <a:off x="3968780" y="103024"/>
                        <a:ext cx="936586" cy="138498"/>
                      </a:xfrm>
                      <a:custGeom>
                        <a:avLst/>
                        <a:gdLst/>
                        <a:ahLst/>
                        <a:cxnLst/>
                        <a:rect l="0" t="0" r="936586" b="138498"/>
                        <a:pathLst>
                          <a:path w="936586" h="138498">
                            <a:moveTo>
                              <a:pt x="936586" y="0"/>
                            </a:moveTo>
                            <a:lnTo>
                              <a:pt x="503415" y="0"/>
                            </a:lnTo>
                            <a:lnTo>
                              <a:pt x="503415" y="138498"/>
                            </a:lnTo>
                            <a:lnTo>
                              <a:pt x="0" y="138498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23" name="DiagramEdge 23"/>
                    <wps:cNvSpPr/>
                    <wps:spPr>
                      <a:xfrm>
                        <a:off x="3968780" y="272429"/>
                        <a:ext cx="936586" cy="164254"/>
                      </a:xfrm>
                      <a:custGeom>
                        <a:avLst/>
                        <a:gdLst/>
                        <a:ahLst/>
                        <a:cxnLst/>
                        <a:rect l="0" t="0" r="936586" b="164254"/>
                        <a:pathLst>
                          <a:path w="936586" h="164254">
                            <a:moveTo>
                              <a:pt x="0" y="0"/>
                            </a:moveTo>
                            <a:lnTo>
                              <a:pt x="433171" y="0"/>
                            </a:lnTo>
                            <a:lnTo>
                              <a:pt x="433171" y="164254"/>
                            </a:lnTo>
                            <a:lnTo>
                              <a:pt x="936586" y="164254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24" name="DiagramEdge 24"/>
                    <wps:cNvSpPr/>
                    <wps:spPr>
                      <a:xfrm>
                        <a:off x="3968780" y="303336"/>
                        <a:ext cx="936586" cy="492761"/>
                      </a:xfrm>
                      <a:custGeom>
                        <a:avLst/>
                        <a:gdLst/>
                        <a:ahLst/>
                        <a:cxnLst/>
                        <a:rect l="0" t="0" r="936586" b="492761"/>
                        <a:pathLst>
                          <a:path w="936586" h="492761">
                            <a:moveTo>
                              <a:pt x="0" y="0"/>
                            </a:moveTo>
                            <a:lnTo>
                              <a:pt x="503415" y="0"/>
                            </a:lnTo>
                            <a:lnTo>
                              <a:pt x="503415" y="492761"/>
                            </a:lnTo>
                            <a:lnTo>
                              <a:pt x="936586" y="492761"/>
                            </a:lnTo>
                          </a:path>
                        </a:pathLst>
                      </a:custGeom>
                      <a:noFill/>
                      <a:ln w="12700" cap="flat">
                        <a:solidFill>
                          <a:srgbClr val="4D4D4D"/>
                        </a:solidFill>
                        <a:round/>
                        <a:tailEnd type="triangle"/>
                      </a:ln>
                    </wps:spPr>
                    <wps:bodyPr/>
                  </wps:wsp>
                  <wps:wsp>
                    <wps:cNvPr id="25" name="DiagramLabel 25"/>
                    <wps:cNvSpPr/>
                    <wps:spPr>
                      <a:xfrm>
                        <a:off x="1129756" y="1113366"/>
                        <a:ext cx="632195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DC" w14:textId="001000DD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Authorization Code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26" name="DiagramLabel 26"/>
                    <wps:cNvSpPr/>
                    <wps:spPr>
                      <a:xfrm>
                        <a:off x="1732683" y="1139122"/>
                        <a:ext cx="292683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DE" w14:textId="001000DF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JWT LoA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27" name="DiagramLabel 27"/>
                    <wps:cNvSpPr/>
                    <wps:spPr>
                      <a:xfrm>
                        <a:off x="1246829" y="1056585"/>
                        <a:ext cx="398049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0" w14:textId="001000E1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JWT + mTLS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28" name="DiagramLabel 28"/>
                    <wps:cNvSpPr/>
                    <wps:spPr>
                      <a:xfrm>
                        <a:off x="2739512" y="781346"/>
                        <a:ext cx="398049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2" w14:textId="001000E3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mTLS + JWT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29" name="DiagramLabel 29"/>
                    <wps:cNvSpPr/>
                    <wps:spPr>
                      <a:xfrm>
                        <a:off x="2774634" y="826771"/>
                        <a:ext cx="398049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4" w14:textId="001000E5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mTLS + JWT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30" name="DiagramLabel 30"/>
                    <wps:cNvSpPr/>
                    <wps:spPr>
                      <a:xfrm>
                        <a:off x="2739512" y="690497"/>
                        <a:ext cx="398049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6" w14:textId="001000E7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mTLS + JWT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31" name="DiagramLabel 31"/>
                    <wps:cNvSpPr/>
                    <wps:spPr>
                      <a:xfrm>
                        <a:off x="3951219" y="180175"/>
                        <a:ext cx="468293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8" w14:textId="001000E9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JWT OBO/CIBA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32" name="DiagramLabel 32"/>
                    <wps:cNvSpPr/>
                    <wps:spPr>
                      <a:xfrm>
                        <a:off x="4419512" y="72585"/>
                        <a:ext cx="538537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A" w14:textId="001000EB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creds efêmeras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  <wps:wsp>
                    <wps:cNvPr id="33" name="DiagramLabel 33"/>
                    <wps:cNvSpPr/>
                    <wps:spPr>
                      <a:xfrm>
                        <a:off x="4144390" y="272897"/>
                        <a:ext cx="152195" cy="60878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01000EC" w14:textId="001000ED">
                          <w:pPr>
                            <w:jc w:val="center"/>
                          </w:pPr>
                          <w:r>
                            <w:rPr>
                              <w:rFonts w:hint="eastAsia" w:eastAsia="SimSun"/>
                              <w:sz w:val="6"/>
                              <w:szCs w:val="6"/>
                            </w:rPr>
                            <w:t xml:space="preserve">JWT</w:t>
                          </w:r>
                        </w:p>
                      </w:txbxContent>
                    </wps:txbx>
                    <wps:bodyPr rot="0" wrap="none" lIns="0" tIns="0" rIns="0" bIns="0" anchor="ctr" anchorCtr="1">
                      <a:noAutofit/>
                    </wps:bodyPr>
                  </wps:wsp>
                </wpg:wgp>
              </a:graphicData>
            </a:graphic>
          </wp:anchor>
        </w:drawing>
      </w:r>
    </w:p>
    <w:p w14:paraId="00100084" w14:textId="00100085">
      <w:pPr>
        <w:spacing w:before="80" w:after="200"/>
      </w:pPr>
      <w:r>
        <w:rPr>
          <w:i/>
          <w:color w:val="525252"/>
          <w:sz w:val="18"/>
        </w:rPr>
        <w:t xml:space="preserve">Figura 2 — APIM no norte-sul; Istio no leste-oeste. O canal nunca fala direto com o agente, o MCP ou o LLM. O Ping Authorize decide; o Vault continua cego ao PEP de borda.</w:t>
      </w:r>
    </w:p>
    <w:p w14:paraId="00100086" w14:textId="00100087">
      <w:pPr>
        <w:spacing w:before="360" w:after="160"/>
      </w:pPr>
      <w:r>
        <w:rPr>
          <w:b/>
          <w:color w:val="0F62FE"/>
          <w:sz w:val="40"/>
        </w:rPr>
        <w:t xml:space="preserve">4. LoA no IdP — o asterisco do diagrama</w:t>
      </w:r>
    </w:p>
    <w:p w14:paraId="00100088" w14:textId="00100089">
      <w:pPr>
        <w:pStyle w:val="Normal"/>
        <w:spacing w:after="160"/>
      </w:pPr>
      <w:r>
        <w:rPr/>
        <w:t xml:space="preserve">O diagrama pede “Implementar LoA no IdP”. Hoje o LoA é calculado no user-mcp. Com APIM + Ping, o JWT precisa carregar acr/loa para o PDP não depender de estado da aplicação:</w:t>
      </w:r>
    </w:p>
    <w:p w14:paraId="0010008A" w14:textId="0010008B">
      <w:pPr>
        <w:pStyle w:val="Normal"/>
        <w:spacing w:after="160"/>
      </w:pPr>
      <w:r>
        <w:rPr/>
        <w:t xml:space="preserve">LoA 1 — senha, claim acr=1. Cliente Vivo na rede (nota laranja do diagrama) pode nascer já em LoA 1. LoA 2 — MFA ou CIBA; o APIM/Ping exigem acr&gt;=2 para escrita. LoA 3 — WebAuthn/FIDO2 no IdP para transação de alto valor, se o caderno CT-01.3/05.x for literal. O laboratório cobre 1 e 2; 3 continua gap até o IdP corporativo expor o autenticador.</w:t>
      </w:r>
    </w:p>
    <w:p w14:paraId="0010008C" w14:textId="0010008D">
      <w:pPr>
        <w:spacing w:before="360" w:after="160"/>
      </w:pPr>
      <w:r>
        <w:rPr>
          <w:b/>
          <w:color w:val="0F62FE"/>
          <w:sz w:val="40"/>
        </w:rPr>
        <w:t xml:space="preserve">5. Desenho híbrido recomendado (não big-bang)</w:t>
      </w:r>
    </w:p>
    <w:p w14:paraId="0010008E" w14:textId="0010008F">
      <w:pPr>
        <w:pStyle w:val="Normal"/>
        <w:spacing w:after="160"/>
      </w:pPr>
      <w:r>
        <w:rPr/>
        <w:t xml:space="preserve">Fase 1 — Trocar a malha: sidecars Istio no lugar do Consul Connect, PeerAuthentication STRICT, AuthorizationPolicy deny-all + ALLOW das origens atuais (equivalente às 16 intentions). APIM na frente do canal e do ai-agent, ainda sem Ping: validate-jwt + mTLS, backend = serviços já meshed. Prova CT-01.5 e CT-02.x no produto que o cliente vai operar.</w:t>
      </w:r>
    </w:p>
    <w:p w14:paraId="00100090" w14:textId="00100091">
      <w:pPr>
        <w:pStyle w:val="Normal"/>
        <w:spacing w:after="160"/>
      </w:pPr>
      <w:r>
        <w:rPr/>
        <w:t xml:space="preserve">Fase 2 — Ping Authorize como PDP chamado pelo APIM. Mapear as AuthorizationPolicies e o catálogo opa-mcp-authz para políticas Ping (CN, groups, action, loa). OPA permanece só para guardrail de prompt/PII (não é AuthZ de API).</w:t>
      </w:r>
    </w:p>
    <w:p w14:paraId="00100092" w14:textId="00100093">
      <w:pPr>
        <w:pStyle w:val="Normal"/>
        <w:spacing w:after="160"/>
      </w:pPr>
      <w:r>
        <w:rPr/>
        <w:t xml:space="preserve">Fase 3 — Step-up no contrato HTTP do caderno: APIM traduz STEP_UP_REQUIRED em 401 + WWW-Authenticate; o canal redireciona ao IdP; o JWT novo reentra no APIM. CIBA pode continuar como authenticator do LoA 2 para escritas MCP, agora disparado depois do ALLOW do Ping ou como ação do próprio IdP.</w:t>
      </w:r>
    </w:p>
    <w:p w14:paraId="00100094" w14:textId="00100095">
      <w:pPr>
        <w:pStyle w:val="Normal"/>
        <w:spacing w:after="160"/>
      </w:pPr>
      <w:r>
        <w:rPr/>
        <w:t xml:space="preserve">Istio não some: leste-oeste MCP↔Vault↔Postgres e a proibição de bypass (CT-02.4) continuam sendo AuthorizationPolicy. O APIM (identidade de workload / SA de egress) torna-se o único principal autorizado a falar com o ai-agent, exatamente como web-api-gateway é hoje a única origem Consul de web.</w:t>
      </w:r>
    </w:p>
    <w:p w14:paraId="00100096" w14:textId="00100097">
      <w:pPr>
        <w:spacing w:before="360" w:after="160"/>
      </w:pPr>
      <w:r>
        <w:rPr>
          <w:b/>
          <w:color w:val="0F62FE"/>
          <w:sz w:val="40"/>
        </w:rPr>
        <w:t xml:space="preserve">6. Contratos que o APIM precisa preservar</w:t>
      </w:r>
    </w:p>
    <w:tbl>
      <w:tblPr>
        <w:tblStyle w:val="light1"/>
        <w:tblW w:w="9400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  <w:tblLook w:val="04A0" w:firstRow="true"/>
        <w:tblCaption w:val="Contratos que não podem se perder na migração"/>
      </w:tblPr>
      <w:tblGrid>
        <w:gridCol w:w="2400"/>
        <w:gridCol w:w="3200"/>
        <w:gridCol w:w="3800"/>
      </w:tblGrid>
      <w:tr>
        <w:tc>
          <w:p w14:paraId="00100098" w14:textId="00100099">
            <w:r>
              <w:t xml:space="preserve">Contrato</w:t>
            </w:r>
          </w:p>
        </w:tc>
        <w:tc>
          <w:p w14:paraId="0010009A" w14:textId="0010009B">
            <w:r>
              <w:t xml:space="preserve">Hoje (lab Consul)</w:t>
            </w:r>
          </w:p>
        </w:tc>
        <w:tc>
          <w:p w14:paraId="0010009C" w14:textId="0010009D">
            <w:r>
              <w:t xml:space="preserve">No APIM + Istio</w:t>
            </w:r>
          </w:p>
        </w:tc>
      </w:tr>
      <w:tr>
        <w:tc>
          <w:p w14:paraId="0010009E" w14:textId="0010009F">
            <w:r>
              <w:t xml:space="preserve">Actor token do agente</w:t>
            </w:r>
          </w:p>
        </w:tc>
        <w:tc>
          <w:p w14:paraId="001000A0" w14:textId="001000A1">
            <w:r>
              <w:t xml:space="preserve">Vault / Kubernetes JWT injetado</w:t>
            </w:r>
          </w:p>
        </w:tc>
        <w:tc>
          <w:p w14:paraId="001000A2" w14:textId="001000A3">
            <w:r>
              <w:t xml:space="preserve">APIM não substitui; encaminha ou o agente apresenta no outbound</w:t>
            </w:r>
          </w:p>
        </w:tc>
      </w:tr>
      <w:tr>
        <w:tc>
          <w:p w14:paraId="001000A4" w14:textId="001000A5">
            <w:r>
              <w:t xml:space="preserve">OBO RFC 8693</w:t>
            </w:r>
          </w:p>
        </w:tc>
        <w:tc>
          <w:p w14:paraId="001000A6" w14:textId="001000A7">
            <w:r>
              <w:t xml:space="preserve">token-exchange + Keycloak</w:t>
            </w:r>
          </w:p>
        </w:tc>
        <w:tc>
          <w:p w14:paraId="001000A8" w14:textId="001000A9">
            <w:r>
              <w:t xml:space="preserve">Permanece; APIM pode exigir o OBO no backend-id do MCP</w:t>
            </w:r>
          </w:p>
        </w:tc>
      </w:tr>
      <w:tr>
        <w:tc>
          <w:p w14:paraId="001000AA" w14:textId="001000AB">
            <w:r>
              <w:t xml:space="preserve">CIBA poll</w:t>
            </w:r>
          </w:p>
        </w:tc>
        <w:tc>
          <w:p w14:paraId="001000AC" w14:textId="001000AD">
            <w:r>
              <w:t xml:space="preserve">user-mcp → Keycloak</w:t>
            </w:r>
          </w:p>
        </w:tc>
        <w:tc>
          <w:p w14:paraId="001000AE" w14:textId="001000AF">
            <w:r>
              <w:t xml:space="preserve">Igual; APIM só vê o JWT CIBA na retry</w:t>
            </w:r>
          </w:p>
        </w:tc>
      </w:tr>
      <w:tr>
        <w:tc>
          <w:p w14:paraId="001000B0" w14:textId="001000B1">
            <w:r>
              <w:t xml:space="preserve">Escopos users.read / users.write</w:t>
            </w:r>
          </w:p>
        </w:tc>
        <w:tc>
          <w:p w14:paraId="001000B2" w14:textId="001000B3">
            <w:r>
              <w:t xml:space="preserve">OBO + require_scopes</w:t>
            </w:r>
          </w:p>
        </w:tc>
        <w:tc>
          <w:p w14:paraId="001000B4" w14:textId="001000B5">
            <w:r>
              <w:t xml:space="preserve">Ping pode espelhar; MCP continua enforcement</w:t>
            </w:r>
          </w:p>
        </w:tc>
      </w:tr>
      <w:tr>
        <w:tc>
          <w:p w14:paraId="001000B6" w14:textId="001000B7">
            <w:r>
              <w:t xml:space="preserve">PII / prompt injection</w:t>
            </w:r>
          </w:p>
        </w:tc>
        <w:tc>
          <w:p w14:paraId="001000B8" w14:textId="001000B9">
            <w:r>
              <w:t xml:space="preserve">opa-gov-api no sidecar Consul</w:t>
            </w:r>
          </w:p>
        </w:tc>
        <w:tc>
          <w:p w14:paraId="001000BA" w14:textId="001000BB">
            <w:r>
              <w:t xml:space="preserve">EnvoyFilter Istio no ai-agent — fora do AuthZ Ping</w:t>
            </w:r>
          </w:p>
        </w:tc>
      </w:tr>
      <w:tr>
        <w:tc>
          <w:p w14:paraId="001000BC" w14:textId="001000BD">
            <w:r>
              <w:t xml:space="preserve">Bypass do PEP (CT-02.4)</w:t>
            </w:r>
          </w:p>
        </w:tc>
        <w:tc>
          <w:p w14:paraId="001000BE" w14:textId="001000BF">
            <w:r>
              <w:t xml:space="preserve">Intention: só web-api-gateway → web</w:t>
            </w:r>
          </w:p>
        </w:tc>
        <w:tc>
          <w:p w14:paraId="001000C0" w14:textId="001000C1">
            <w:r>
              <w:t xml:space="preserve">AuthorizationPolicy: só o principal do APIM → ai-agent / MCP</w:t>
            </w:r>
          </w:p>
        </w:tc>
      </w:tr>
    </w:tbl>
    <w:p w14:paraId="001000C2" w14:textId="001000C3">
      <w:pPr>
        <w:spacing w:before="360" w:after="160"/>
      </w:pPr>
      <w:r>
        <w:rPr>
          <w:b/>
          <w:color w:val="0F62FE"/>
          <w:sz w:val="40"/>
        </w:rPr>
        <w:t xml:space="preserve">7. Conclusão</w:t>
      </w:r>
    </w:p>
    <w:p w14:paraId="001000C4" w14:textId="001000C5">
      <w:pPr>
        <w:pStyle w:val="Normal"/>
        <w:spacing w:after="160"/>
      </w:pPr>
      <w:r>
        <w:rPr/>
        <w:t xml:space="preserve">Colocar o Azure APIM como AI Gateway não redesenha o agente, o MCP ou o cofre. Move o PEP de borda para o produto que o caderno nomeia, faz o Ping Authorize decidir ALLOW/DENY/STEP_UP com LoA no JWT, e troca o Consul Connect por Istio como malha interna fail-closed (mTLS STRICT + deny-all). O laboratório já prova os controles; APIM + Istio é a forma de operá-los no padrão de plataforma Telefônica/Vivo.</w:t>
      </w:r>
    </w:p>
    <w:sectPr>
      <w:headerReference w:type="default" r:id="Rdc2ec0eeb5d14bd9"/>
      <w:footerReference w:type="default" r:id="R0f7812f1e9a8425b"/>
      <w:pgSz w:w="11906" w:h="16838"/>
      <w:pgMar w:top="1440" w:right="1800" w:bottom="1440" w:left="1800"/>
      <w:docGrid w:type="default"/>
    </w:sectPr>
  </w:body>
</w:document>
</file>

<file path=word/footer1.xml><?xml version="1.0" encoding="utf-8"?>
<w:ftr xmlns:mc="http://schemas.openxmlformats.org/markup-compatibility/2006" xmlns:w14="http://schemas.microsoft.com/office/word/2010/wordml" xmlns:w="http://schemas.openxmlformats.org/wordprocessingml/2006/main" mc:Ignorable="w14">
  <w:p w14:paraId="00100002" w14:textId="00100003">
    <w:pPr/>
    <w:r>
      <w:rPr>
        <w:sz w:val="18"/>
      </w:rPr>
      <w:t xml:space="preserve">Documento complementar à Ata de Demonstração  ·  </w:t>
    </w:r>
  </w:p>
</w:ftr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1">
    <w:pPr/>
    <w:r>
      <w:rPr>
        <w:color w:val="525252"/>
        <w:sz w:val="18"/>
      </w:rPr>
      <w:t xml:space="preserve">Azure APIM como AI Gateway — malha Istio no leste-oeste</w:t>
    </w:r>
  </w:p>
</w:hdr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 w:eastAsia="Calibri" w:cs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90e03f5851644f46" /><Relationship Type="http://schemas.openxmlformats.org/officeDocument/2006/relationships/styles" Target="/word/styles.xml" Id="R85e6d26b763241e3" /><Relationship Type="http://schemas.openxmlformats.org/officeDocument/2006/relationships/theme" Target="/word/theme/theme1.xml" Id="R5ae26ef656914e12" /><Relationship Type="http://schemas.openxmlformats.org/officeDocument/2006/relationships/numbering" Target="/word/numbering.xml" Id="Rf3ae08ea6d19429e" /><Relationship Type="http://schemas.openxmlformats.org/officeDocument/2006/relationships/header" Target="/word/header1.xml" Id="Rdc2ec0eeb5d14bd9" /><Relationship Type="http://schemas.openxmlformats.org/officeDocument/2006/relationships/footer" Target="/word/footer1.xml" Id="R0f7812f1e9a8425b" /><Relationship Type="http://schemas.openxmlformats.org/officeDocument/2006/relationships/image" Target="/media/image.jpg" Id="R91dcf46e5baf4f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OfficeCLI/1.0.151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Guy Barros</dc:creator>
  <dcterms:created xsi:type="dcterms:W3CDTF">2026-09-17T02:55:28.0000000Z</dcterms:created>
  <lastModifiedBy>OfficeCLI</lastModifiedBy>
  <dcterms:modified xsi:type="dcterms:W3CDTF">2026-09-17T02:55:28.0000000Z</dcterms:modified>
  <dc:title>Arquitetura com Azure API Management como AI Gateway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2026-09-17T03:08:10Z</vt:lpwstr>
  </op:property>
</op:Properties>
</file>