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305A" w14:textId="79B74DFD" w:rsidR="00E06C16" w:rsidRPr="00D95150" w:rsidRDefault="00FB2D96" w:rsidP="00E06C16">
      <w:pPr>
        <w:tabs>
          <w:tab w:val="right" w:pos="4219"/>
        </w:tabs>
        <w:autoSpaceDE w:val="0"/>
        <w:autoSpaceDN w:val="0"/>
        <w:adjustRightInd w:val="0"/>
        <w:spacing w:after="0" w:line="240" w:lineRule="auto"/>
        <w:ind w:left="-737" w:right="-1843"/>
        <w:rPr>
          <w:rFonts w:ascii="Calibri" w:hAnsi="Calibri" w:cs="Calibri"/>
          <w:color w:val="000000"/>
          <w:kern w:val="0"/>
          <w:sz w:val="16"/>
          <w:szCs w:val="16"/>
        </w:rPr>
      </w:pPr>
      <w:r>
        <w:rPr>
          <w:rFonts w:ascii="David-Bold" w:cs="David-Bold"/>
          <w:b/>
          <w:bCs/>
          <w:color w:val="16365C"/>
          <w:kern w:val="0"/>
          <w:sz w:val="16"/>
          <w:szCs w:val="16"/>
        </w:rPr>
        <w:br/>
      </w:r>
      <w:r w:rsidR="0003591A">
        <w:rPr>
          <w:rFonts w:ascii="David-Bold" w:cs="David-Bold"/>
          <w:b/>
          <w:bCs/>
          <w:color w:val="16365C"/>
          <w:kern w:val="0"/>
          <w:sz w:val="16"/>
          <w:szCs w:val="16"/>
        </w:rPr>
        <w:br/>
      </w:r>
      <w:r w:rsidR="0003591A">
        <w:rPr>
          <w:rFonts w:ascii="David-Bold" w:cs="David-Bold"/>
          <w:b/>
          <w:bCs/>
          <w:color w:val="16365C"/>
          <w:kern w:val="0"/>
          <w:sz w:val="16"/>
          <w:szCs w:val="16"/>
        </w:rPr>
        <w:br/>
      </w:r>
      <w:r w:rsidR="00E06C16" w:rsidRPr="00011294">
        <w:rPr>
          <w:rFonts w:ascii="David-Bold" w:cs="David-Bold" w:hint="cs"/>
          <w:b/>
          <w:bCs/>
          <w:color w:val="16365C"/>
          <w:kern w:val="0"/>
          <w:sz w:val="16"/>
          <w:szCs w:val="16"/>
          <w:rtl/>
        </w:rPr>
        <w:t>סקירה</w:t>
      </w:r>
      <w:r w:rsidR="00E06C16" w:rsidRPr="00011294">
        <w:rPr>
          <w:rFonts w:ascii="David-Bold" w:cs="David-Bold"/>
          <w:b/>
          <w:bCs/>
          <w:color w:val="16365C"/>
          <w:kern w:val="0"/>
          <w:sz w:val="16"/>
          <w:szCs w:val="16"/>
          <w:rtl/>
        </w:rPr>
        <w:t xml:space="preserve"> </w:t>
      </w:r>
      <w:r w:rsidR="00E06C16" w:rsidRPr="00011294">
        <w:rPr>
          <w:rFonts w:ascii="David-Bold" w:cs="David-Bold" w:hint="cs"/>
          <w:b/>
          <w:bCs/>
          <w:color w:val="16365C"/>
          <w:kern w:val="0"/>
          <w:sz w:val="16"/>
          <w:szCs w:val="16"/>
          <w:rtl/>
        </w:rPr>
        <w:t>חודשית</w:t>
      </w:r>
      <w:r w:rsidR="00E06C16" w:rsidRPr="00011294">
        <w:rPr>
          <w:rFonts w:ascii="David-Bold" w:cs="David-Bold"/>
          <w:b/>
          <w:bCs/>
          <w:color w:val="16365C"/>
          <w:kern w:val="0"/>
          <w:sz w:val="16"/>
          <w:szCs w:val="16"/>
          <w:rtl/>
        </w:rPr>
        <w:t xml:space="preserve"> </w:t>
      </w:r>
      <w:r w:rsidR="00E06C16" w:rsidRPr="00011294">
        <w:rPr>
          <w:rFonts w:ascii="David-Bold" w:cs="David-Bold" w:hint="cs"/>
          <w:b/>
          <w:bCs/>
          <w:color w:val="16365C"/>
          <w:kern w:val="0"/>
          <w:sz w:val="16"/>
          <w:szCs w:val="16"/>
          <w:rtl/>
        </w:rPr>
        <w:t>לתקופה</w:t>
      </w:r>
      <w:r w:rsidR="00E06C16" w:rsidRPr="00011294">
        <w:rPr>
          <w:rFonts w:ascii="David-Bold" w:cs="David-Bold"/>
          <w:b/>
          <w:bCs/>
          <w:color w:val="16365C"/>
          <w:kern w:val="0"/>
          <w:sz w:val="16"/>
          <w:szCs w:val="16"/>
          <w:rtl/>
        </w:rPr>
        <w:t xml:space="preserve"> 01 </w:t>
      </w:r>
      <w:r w:rsidR="00E06C16" w:rsidRPr="00011294">
        <w:rPr>
          <w:rFonts w:ascii="David-Bold" w:cs="David-Bold" w:hint="cs"/>
          <w:b/>
          <w:bCs/>
          <w:color w:val="16365C"/>
          <w:kern w:val="0"/>
          <w:sz w:val="16"/>
          <w:szCs w:val="16"/>
          <w:rtl/>
        </w:rPr>
        <w:t>ינואר</w:t>
      </w:r>
      <w:r w:rsidR="00E06C16" w:rsidRPr="00011294">
        <w:rPr>
          <w:rFonts w:ascii="David-Bold" w:cs="David-Bold"/>
          <w:b/>
          <w:bCs/>
          <w:color w:val="16365C"/>
          <w:kern w:val="0"/>
          <w:sz w:val="16"/>
          <w:szCs w:val="16"/>
          <w:rtl/>
        </w:rPr>
        <w:t xml:space="preserve"> 2024</w:t>
      </w:r>
      <w:r w:rsidR="00E06C16" w:rsidRPr="00011294">
        <w:rPr>
          <w:sz w:val="16"/>
          <w:szCs w:val="16"/>
          <w:rtl/>
        </w:rPr>
        <w:br/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 xml:space="preserve">2022 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סימנה שינוי משמעותי במשטרים הפיננסיים העולמיים, כאשר הריבית עלתה בחדות מ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>-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 xml:space="preserve">, 0% 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ליותר מ- 4% . השנה העוקבת, 2023 , הייתה תקופה של התייצבות. עם כניסת ינואר 2024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  <w:t>השווקים הפיננסים החלו להראות תגובות מסורתיות יותר להתפתחויות גיאופוליטיות וכלכליות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>.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  <w:t xml:space="preserve">הציפייה למדיניות מחמירה יותר של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הפדרל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ריזרב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הובילה לעליית תשואת אג"ח ממשלת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  <w:t>ארה"ב ל 10- שנים, מ 3.88%- בסוף דצמבר 2023 ל 4.16%- . במקביל, בהשפעת מהפכת הבינה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  <w:t>הפגינו עליות מרשימות, עם עליות עד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 xml:space="preserve"> Nasdaq 100- 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ו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 xml:space="preserve"> P500&amp;S 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המלאכותית המתהווה, מדדי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  <w:t>היום של 3.72% ו 4.72%- , בהתאמה. כאשר השוק מסתגל לסיכוי של האטה כלכלית מנוהלת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 xml:space="preserve"> -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  <w:t xml:space="preserve">מה שנקרא "נחיתה רכה" - על ידי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הפדרל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ריזרב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, אנו ממשיכים לזהות ולמנף הזדמנויות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  <w:t xml:space="preserve">השקעה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מבטיחות..בישראל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מדדי המניות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והאגחים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הצביעו על מגמה שלילית ברובה. מדד ת"א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br/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</w:rPr>
        <w:t xml:space="preserve">. 125 </w:t>
      </w:r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ירד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בכ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1.33% ומדד תל אביב בנקים ירד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בכ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4.2%</w:t>
      </w:r>
      <w:proofErr w:type="gram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- .</w:t>
      </w:r>
      <w:proofErr w:type="gram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מדד </w:t>
      </w:r>
      <w:proofErr w:type="spellStart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>התלבונד</w:t>
      </w:r>
      <w:proofErr w:type="spellEnd"/>
      <w:r w:rsidR="00E06C16" w:rsidRPr="00011294">
        <w:rPr>
          <w:rFonts w:ascii="Calibri" w:hAnsi="Calibri" w:cs="Calibri"/>
          <w:color w:val="000000"/>
          <w:kern w:val="0"/>
          <w:sz w:val="16"/>
          <w:szCs w:val="16"/>
          <w:rtl/>
        </w:rPr>
        <w:t xml:space="preserve"> 60 ירד ב- 0.05%</w:t>
      </w:r>
    </w:p>
    <w:p w14:paraId="36D331E3" w14:textId="0049A2DD" w:rsidR="00E06C16" w:rsidRDefault="00E06C16" w:rsidP="0049651D">
      <w:pPr>
        <w:ind w:left="32"/>
        <w:rPr>
          <w:rtl/>
        </w:rPr>
        <w:sectPr w:rsidR="00E06C16" w:rsidSect="004965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800" w:right="1440" w:bottom="1800" w:left="1440" w:header="708" w:footer="708" w:gutter="0"/>
          <w:cols w:num="3" w:space="680"/>
          <w:bidi/>
          <w:rtlGutter/>
          <w:docGrid w:linePitch="360"/>
        </w:sectPr>
      </w:pPr>
      <w:r>
        <w:rPr>
          <w:rtl/>
        </w:rPr>
        <w:br w:type="column"/>
      </w:r>
      <w:bookmarkStart w:id="0" w:name="PerformancePivotTable"/>
      <w:r w:rsidRPr="00A657D1">
        <w:rPr>
          <w:rFonts w:cs="David-Bold"/>
          <w:b/>
          <w:bCs/>
          <w:color w:val="16365C"/>
          <w:kern w:val="0"/>
          <w:sz w:val="18"/>
          <w:szCs w:val="18"/>
        </w:rPr>
        <w:t>#</w:t>
      </w:r>
      <w:bookmarkStart w:id="1" w:name="_Hlk168907950"/>
      <w:r w:rsidRPr="00A657D1">
        <w:rPr>
          <w:rFonts w:cs="David-Bold"/>
          <w:b/>
          <w:bCs/>
          <w:color w:val="16365C"/>
          <w:kern w:val="0"/>
          <w:sz w:val="18"/>
          <w:szCs w:val="18"/>
        </w:rPr>
        <w:t>PerformancePivotTable</w:t>
      </w:r>
      <w:bookmarkEnd w:id="1"/>
      <w:r w:rsidRPr="00A657D1">
        <w:rPr>
          <w:rFonts w:cs="David-Bold"/>
          <w:b/>
          <w:bCs/>
          <w:color w:val="16365C"/>
          <w:kern w:val="0"/>
          <w:sz w:val="18"/>
          <w:szCs w:val="18"/>
        </w:rPr>
        <w:t>#</w:t>
      </w:r>
      <w:bookmarkEnd w:id="0"/>
      <w:r>
        <w:rPr>
          <w:rtl/>
        </w:rPr>
        <w:br w:type="column"/>
      </w:r>
      <w:bookmarkStart w:id="2" w:name="PolicyR"/>
      <w:r w:rsidRPr="00A657D1">
        <w:rPr>
          <w:rFonts w:cs="David-Bold" w:hint="cs"/>
          <w:b/>
          <w:bCs/>
          <w:color w:val="16365C"/>
          <w:kern w:val="0"/>
          <w:sz w:val="18"/>
          <w:szCs w:val="18"/>
          <w:rtl/>
        </w:rPr>
        <w:t>#</w:t>
      </w:r>
      <w:r w:rsidRPr="00A657D1">
        <w:rPr>
          <w:rFonts w:cs="David-Bold"/>
          <w:b/>
          <w:bCs/>
          <w:color w:val="16365C"/>
          <w:kern w:val="0"/>
          <w:sz w:val="18"/>
          <w:szCs w:val="18"/>
        </w:rPr>
        <w:t>Policy</w:t>
      </w:r>
      <w:r w:rsidRPr="00A657D1">
        <w:rPr>
          <w:rFonts w:cs="David-Bold" w:hint="cs"/>
          <w:b/>
          <w:bCs/>
          <w:color w:val="16365C"/>
          <w:kern w:val="0"/>
          <w:sz w:val="18"/>
          <w:szCs w:val="18"/>
          <w:rtl/>
        </w:rPr>
        <w:t>#</w:t>
      </w:r>
      <w:bookmarkEnd w:id="2"/>
    </w:p>
    <w:p w14:paraId="1A449B2F" w14:textId="77777777" w:rsidR="00E06C16" w:rsidRPr="00D95150" w:rsidRDefault="00E06C16" w:rsidP="00021E1B">
      <w:pPr>
        <w:autoSpaceDE w:val="0"/>
        <w:autoSpaceDN w:val="0"/>
        <w:bidi w:val="0"/>
        <w:adjustRightInd w:val="0"/>
        <w:spacing w:after="0" w:line="240" w:lineRule="auto"/>
        <w:rPr>
          <w:rFonts w:cs="David-Bold"/>
          <w:b/>
          <w:bCs/>
          <w:color w:val="16365C"/>
          <w:kern w:val="0"/>
          <w:sz w:val="18"/>
          <w:szCs w:val="18"/>
        </w:rPr>
      </w:pPr>
      <w:r>
        <w:rPr>
          <w:rtl/>
        </w:rPr>
        <w:br w:type="column"/>
      </w:r>
      <w:bookmarkStart w:id="3" w:name="ProtfolioDis"/>
      <w:r w:rsidRPr="00A657D1">
        <w:rPr>
          <w:rFonts w:ascii="Calibri" w:hAnsi="Calibri" w:cs="Calibri" w:hint="cs"/>
          <w:color w:val="000000"/>
          <w:kern w:val="0"/>
          <w:sz w:val="18"/>
          <w:szCs w:val="18"/>
          <w:rtl/>
        </w:rPr>
        <w:t>#</w:t>
      </w:r>
      <w:proofErr w:type="spellStart"/>
      <w:r w:rsidRPr="00A657D1">
        <w:rPr>
          <w:rFonts w:ascii="Calibri" w:hAnsi="Calibri" w:cs="Calibri"/>
          <w:color w:val="000000"/>
          <w:kern w:val="0"/>
          <w:sz w:val="18"/>
          <w:szCs w:val="18"/>
        </w:rPr>
        <w:t>ProtfolioDis</w:t>
      </w:r>
      <w:proofErr w:type="spellEnd"/>
      <w:r w:rsidRPr="00A657D1">
        <w:rPr>
          <w:rFonts w:ascii="Calibri" w:hAnsi="Calibri" w:cs="Calibri" w:hint="cs"/>
          <w:color w:val="000000"/>
          <w:kern w:val="0"/>
          <w:sz w:val="18"/>
          <w:szCs w:val="18"/>
          <w:rtl/>
        </w:rPr>
        <w:t>#</w:t>
      </w:r>
      <w:bookmarkEnd w:id="3"/>
    </w:p>
    <w:p w14:paraId="72828101" w14:textId="55021EA2" w:rsidR="00E06C16" w:rsidRDefault="00E06C16">
      <w:pPr>
        <w:rPr>
          <w:rtl/>
        </w:rPr>
        <w:sectPr w:rsidR="00E06C16" w:rsidSect="00E06C16">
          <w:type w:val="continuous"/>
          <w:pgSz w:w="16838" w:h="11906" w:orient="landscape"/>
          <w:pgMar w:top="1800" w:right="1440" w:bottom="1800" w:left="1440" w:header="708" w:footer="708" w:gutter="0"/>
          <w:cols w:num="2" w:space="708"/>
          <w:bidi/>
          <w:rtlGutter/>
          <w:docGrid w:linePitch="360"/>
        </w:sectPr>
      </w:pPr>
    </w:p>
    <w:p w14:paraId="3C0B22E2" w14:textId="77777777" w:rsidR="00E06C16" w:rsidRPr="00A62EBF" w:rsidRDefault="00E06C16" w:rsidP="00E06C16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David" w:hAnsi="David" w:cs="David"/>
          <w:color w:val="000000"/>
          <w:kern w:val="0"/>
        </w:rPr>
        <w:t>:</w:t>
      </w:r>
      <w:r>
        <w:rPr>
          <w:rFonts w:ascii="David" w:hAnsi="David" w:cs="David"/>
          <w:color w:val="000000"/>
          <w:kern w:val="0"/>
          <w:rtl/>
        </w:rPr>
        <w:t>יועץ</w:t>
      </w:r>
      <w:proofErr w:type="gramEnd"/>
      <w:r>
        <w:rPr>
          <w:rFonts w:ascii="David" w:hAnsi="David" w:cs="David"/>
          <w:color w:val="000000"/>
          <w:kern w:val="0"/>
          <w:sz w:val="20"/>
          <w:szCs w:val="20"/>
          <w:rtl/>
        </w:rPr>
        <w:br/>
        <w:t xml:space="preserve">ביום 11.12.2012 שינתה החברה את שמה מקיי סי פי אס ניהול הון פרטי בע"מ, </w:t>
      </w:r>
      <w:proofErr w:type="spellStart"/>
      <w:r>
        <w:rPr>
          <w:rFonts w:ascii="David" w:hAnsi="David" w:cs="David"/>
          <w:color w:val="000000"/>
          <w:kern w:val="0"/>
          <w:sz w:val="20"/>
          <w:szCs w:val="20"/>
          <w:rtl/>
        </w:rPr>
        <w:t>לקלאריטי</w:t>
      </w:r>
      <w:proofErr w:type="spellEnd"/>
      <w:r>
        <w:rPr>
          <w:rFonts w:ascii="David" w:hAnsi="David" w:cs="David"/>
          <w:color w:val="000000"/>
          <w:kern w:val="0"/>
          <w:sz w:val="20"/>
          <w:szCs w:val="20"/>
          <w:rtl/>
        </w:rPr>
        <w:t xml:space="preserve"> קפיטל קיי סי פי אס בע"מ</w:t>
      </w:r>
    </w:p>
    <w:p w14:paraId="0394BC11" w14:textId="5F2D938D" w:rsidR="00BE594F" w:rsidRPr="00E06C16" w:rsidRDefault="00BE594F"/>
    <w:sectPr w:rsidR="00BE594F" w:rsidRPr="00E06C16" w:rsidSect="00E06C16">
      <w:type w:val="continuous"/>
      <w:pgSz w:w="16838" w:h="11906" w:orient="landscape"/>
      <w:pgMar w:top="1800" w:right="1440" w:bottom="1800" w:left="1440" w:header="708" w:footer="708" w:gutter="0"/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74DF8" w14:textId="77777777" w:rsidR="00E06C16" w:rsidRDefault="00E06C16" w:rsidP="00E06C16">
      <w:pPr>
        <w:spacing w:after="0" w:line="240" w:lineRule="auto"/>
      </w:pPr>
      <w:r>
        <w:separator/>
      </w:r>
    </w:p>
  </w:endnote>
  <w:endnote w:type="continuationSeparator" w:id="0">
    <w:p w14:paraId="16EDDDDB" w14:textId="77777777" w:rsidR="00E06C16" w:rsidRDefault="00E06C16" w:rsidP="00E0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CE30" w14:textId="77777777" w:rsidR="00E06C16" w:rsidRDefault="00E06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21E44" w14:textId="77777777" w:rsidR="00E06C16" w:rsidRDefault="00E06C16" w:rsidP="00E06C16">
    <w:pPr>
      <w:pStyle w:val="Footer"/>
    </w:pPr>
    <w:r>
      <w:rPr>
        <w:rFonts w:ascii="Calibri" w:hAnsi="Calibri" w:cs="Calibri"/>
        <w:kern w:val="0"/>
      </w:rPr>
      <w:t xml:space="preserve">Sasson </w:t>
    </w:r>
    <w:proofErr w:type="spellStart"/>
    <w:r>
      <w:rPr>
        <w:rFonts w:ascii="Calibri" w:hAnsi="Calibri" w:cs="Calibri"/>
        <w:kern w:val="0"/>
      </w:rPr>
      <w:t>Hogi</w:t>
    </w:r>
    <w:proofErr w:type="spellEnd"/>
    <w:r>
      <w:rPr>
        <w:rFonts w:ascii="Calibri" w:hAnsi="Calibri" w:cs="Calibri"/>
        <w:kern w:val="0"/>
      </w:rPr>
      <w:t xml:space="preserve"> Tower, Floor 20, 12 Abba Hillel, Ramat Gan 5250606 | Israel Tel: +972-3-777-9000 | US Tel: +1-212-610-2104 | www.claritycap.com</w:t>
    </w:r>
  </w:p>
  <w:p w14:paraId="729BB309" w14:textId="77777777" w:rsidR="00E06C16" w:rsidRPr="00E06C16" w:rsidRDefault="00E06C16" w:rsidP="00E06C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22A00" w14:textId="77777777" w:rsidR="00E06C16" w:rsidRDefault="00E06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A3956" w14:textId="77777777" w:rsidR="00E06C16" w:rsidRDefault="00E06C16" w:rsidP="00E06C16">
      <w:pPr>
        <w:spacing w:after="0" w:line="240" w:lineRule="auto"/>
      </w:pPr>
      <w:r>
        <w:separator/>
      </w:r>
    </w:p>
  </w:footnote>
  <w:footnote w:type="continuationSeparator" w:id="0">
    <w:p w14:paraId="44F42EF8" w14:textId="77777777" w:rsidR="00E06C16" w:rsidRDefault="00E06C16" w:rsidP="00E06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3AF27" w14:textId="77777777" w:rsidR="00E06C16" w:rsidRDefault="00E06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1DB6" w14:textId="77777777" w:rsidR="00E06C16" w:rsidRPr="00011294" w:rsidRDefault="00E06C16" w:rsidP="00E06C16">
    <w:pPr>
      <w:pStyle w:val="Header"/>
      <w:rPr>
        <w:sz w:val="24"/>
        <w:szCs w:val="24"/>
      </w:rPr>
    </w:pPr>
    <w:r w:rsidRPr="00A657D1">
      <w:rPr>
        <w:rFonts w:ascii="Times New Roman" w:hAnsi="Times New Roman"/>
        <w:noProof/>
        <w:sz w:val="24"/>
        <w:szCs w:val="24"/>
        <w14:ligatures w14:val="none"/>
      </w:rPr>
      <w:drawing>
        <wp:anchor distT="0" distB="0" distL="114300" distR="114300" simplePos="0" relativeHeight="251659264" behindDoc="1" locked="0" layoutInCell="1" allowOverlap="1" wp14:anchorId="7EAAB58A" wp14:editId="76037AF2">
          <wp:simplePos x="0" y="0"/>
          <wp:positionH relativeFrom="column">
            <wp:posOffset>-365067</wp:posOffset>
          </wp:positionH>
          <wp:positionV relativeFrom="paragraph">
            <wp:posOffset>-79808</wp:posOffset>
          </wp:positionV>
          <wp:extent cx="1811655" cy="600075"/>
          <wp:effectExtent l="0" t="0" r="0" b="9525"/>
          <wp:wrapTight wrapText="bothSides">
            <wp:wrapPolygon edited="0">
              <wp:start x="0" y="0"/>
              <wp:lineTo x="0" y="21257"/>
              <wp:lineTo x="21350" y="21257"/>
              <wp:lineTo x="21350" y="0"/>
              <wp:lineTo x="0" y="0"/>
            </wp:wrapPolygon>
          </wp:wrapTight>
          <wp:docPr id="1246096415" name="תמונה 1" descr="תמונה שמכילה גופן, גרפיקה, עיצוב גרפי, צילום מסך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3970689" name="תמונה 1" descr="תמונה שמכילה גופן, גרפיקה, עיצוב גרפי, צילום מסך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7D1">
      <w:rPr>
        <w:rFonts w:ascii="David" w:hAnsi="David" w:cs="David" w:hint="cs"/>
        <w:kern w:val="0"/>
        <w:sz w:val="24"/>
        <w:szCs w:val="24"/>
        <w:rtl/>
      </w:rPr>
      <w:t>דנאל פתרונות פיננסיים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83B43" w14:textId="77777777" w:rsidR="00E06C16" w:rsidRDefault="00E06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16"/>
    <w:rsid w:val="00021E1B"/>
    <w:rsid w:val="0003591A"/>
    <w:rsid w:val="0049651D"/>
    <w:rsid w:val="00627C2D"/>
    <w:rsid w:val="007E24BA"/>
    <w:rsid w:val="00961040"/>
    <w:rsid w:val="00AA41FE"/>
    <w:rsid w:val="00AD6FE1"/>
    <w:rsid w:val="00B07AB8"/>
    <w:rsid w:val="00B245FA"/>
    <w:rsid w:val="00BE594F"/>
    <w:rsid w:val="00C02D82"/>
    <w:rsid w:val="00E06C16"/>
    <w:rsid w:val="00F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4F96"/>
  <w15:chartTrackingRefBased/>
  <w15:docId w15:val="{BBBD2FAC-803F-4D4A-92D7-BF58C52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C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6C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C16"/>
  </w:style>
  <w:style w:type="paragraph" w:styleId="Footer">
    <w:name w:val="footer"/>
    <w:basedOn w:val="Normal"/>
    <w:link w:val="FooterChar"/>
    <w:uiPriority w:val="99"/>
    <w:unhideWhenUsed/>
    <w:rsid w:val="00E06C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AB0F0.321B99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AE23-5363-4449-AF27-495A73ED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Elmakias</dc:creator>
  <cp:keywords/>
  <dc:description/>
  <cp:lastModifiedBy>Guy Elmakias</cp:lastModifiedBy>
  <cp:revision>6</cp:revision>
  <dcterms:created xsi:type="dcterms:W3CDTF">2024-06-10T11:14:00Z</dcterms:created>
  <dcterms:modified xsi:type="dcterms:W3CDTF">2024-06-16T14:23:00Z</dcterms:modified>
</cp:coreProperties>
</file>