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A5A9" w14:textId="2370499B" w:rsidR="009E60E0" w:rsidRPr="00B046A4" w:rsidRDefault="00FB34B6" w:rsidP="00FB34B6">
      <w:pPr>
        <w:jc w:val="center"/>
        <w:rPr>
          <w:rFonts w:cstheme="minorHAnsi"/>
          <w:b/>
          <w:bCs/>
          <w:sz w:val="48"/>
          <w:szCs w:val="48"/>
        </w:rPr>
      </w:pPr>
      <w:r w:rsidRPr="00B046A4">
        <w:rPr>
          <w:rFonts w:cstheme="minorHAnsi"/>
          <w:b/>
          <w:bCs/>
          <w:sz w:val="48"/>
          <w:szCs w:val="48"/>
        </w:rPr>
        <w:t>IGM Recruitment</w:t>
      </w:r>
    </w:p>
    <w:p w14:paraId="0B5E562F" w14:textId="77777777" w:rsidR="00D60FC5" w:rsidRPr="00D60FC5" w:rsidRDefault="00D60FC5" w:rsidP="00D60FC5">
      <w:pPr>
        <w:jc w:val="both"/>
        <w:rPr>
          <w:rFonts w:cstheme="minorHAnsi"/>
          <w:b/>
          <w:bCs/>
          <w:sz w:val="28"/>
          <w:szCs w:val="28"/>
        </w:rPr>
      </w:pPr>
      <w:r w:rsidRPr="00D60FC5">
        <w:rPr>
          <w:rFonts w:cstheme="minorHAnsi"/>
          <w:b/>
          <w:bCs/>
          <w:sz w:val="28"/>
          <w:szCs w:val="28"/>
        </w:rPr>
        <w:t xml:space="preserve">History </w:t>
      </w:r>
    </w:p>
    <w:p w14:paraId="1C453C92" w14:textId="77777777" w:rsidR="00D60FC5" w:rsidRPr="008B181D" w:rsidRDefault="00D60FC5" w:rsidP="00D60FC5">
      <w:pPr>
        <w:jc w:val="both"/>
        <w:rPr>
          <w:rFonts w:cstheme="minorHAnsi"/>
          <w:sz w:val="28"/>
          <w:szCs w:val="28"/>
        </w:rPr>
      </w:pPr>
      <w:r w:rsidRPr="008B181D">
        <w:rPr>
          <w:rFonts w:cstheme="minorHAnsi"/>
          <w:sz w:val="28"/>
          <w:szCs w:val="28"/>
        </w:rPr>
        <w:t xml:space="preserve">Under The Coinage Act, 1906, the Government of India is blamed for the creation and supply of coins to the Reserve Bank of India (RBI). The RBI puts a yearly indent thus and the Government of India draws up the creation program for the India Government Mints dependent on the indent. </w:t>
      </w:r>
    </w:p>
    <w:p w14:paraId="2CA0F601" w14:textId="5A28A654" w:rsidR="00D60FC5" w:rsidRPr="008B181D" w:rsidRDefault="00D60FC5" w:rsidP="00D60FC5">
      <w:pPr>
        <w:jc w:val="both"/>
        <w:rPr>
          <w:rFonts w:cstheme="minorHAnsi"/>
          <w:sz w:val="28"/>
          <w:szCs w:val="28"/>
        </w:rPr>
      </w:pPr>
      <w:r w:rsidRPr="008B181D">
        <w:rPr>
          <w:rFonts w:cstheme="minorHAnsi"/>
          <w:sz w:val="28"/>
          <w:szCs w:val="28"/>
        </w:rPr>
        <w:t xml:space="preserve">Other than stepping coins, the mints at Mumbai, Kolkata and Hyderabad moreover make coin spaces. Hyderabad, </w:t>
      </w:r>
      <w:r w:rsidR="00DA08A2" w:rsidRPr="008B181D">
        <w:rPr>
          <w:rFonts w:cstheme="minorHAnsi"/>
          <w:sz w:val="28"/>
          <w:szCs w:val="28"/>
        </w:rPr>
        <w:t>Mumbai,</w:t>
      </w:r>
      <w:r w:rsidRPr="008B181D">
        <w:rPr>
          <w:rFonts w:cstheme="minorHAnsi"/>
          <w:sz w:val="28"/>
          <w:szCs w:val="28"/>
        </w:rPr>
        <w:t xml:space="preserve"> and Kolkata mints have gold testing </w:t>
      </w:r>
      <w:r w:rsidR="00A1763B" w:rsidRPr="008B181D">
        <w:rPr>
          <w:rFonts w:cstheme="minorHAnsi"/>
          <w:sz w:val="28"/>
          <w:szCs w:val="28"/>
        </w:rPr>
        <w:t>workplaces,</w:t>
      </w:r>
      <w:r w:rsidRPr="008B181D">
        <w:rPr>
          <w:rFonts w:cstheme="minorHAnsi"/>
          <w:sz w:val="28"/>
          <w:szCs w:val="28"/>
        </w:rPr>
        <w:t xml:space="preserve"> and the Mumbai mint produces standardized loads and measures. Mumbai Mint has a top tier gold refining office up to 999.9. Hyderabad Mint has electrolytic silver refining office up to 999.9. </w:t>
      </w:r>
    </w:p>
    <w:p w14:paraId="46B003DB" w14:textId="77777777" w:rsidR="00D60FC5" w:rsidRPr="008B181D" w:rsidRDefault="00D60FC5" w:rsidP="00D60FC5">
      <w:pPr>
        <w:jc w:val="both"/>
        <w:rPr>
          <w:rFonts w:cstheme="minorHAnsi"/>
          <w:sz w:val="28"/>
          <w:szCs w:val="28"/>
        </w:rPr>
      </w:pPr>
      <w:r w:rsidRPr="008B181D">
        <w:rPr>
          <w:rFonts w:cstheme="minorHAnsi"/>
          <w:sz w:val="28"/>
          <w:szCs w:val="28"/>
        </w:rPr>
        <w:t xml:space="preserve">Remembrance coins are made at Mumbai and Kolkata. Kolkata and Hyderabad have workplaces for making seals, too. The Noida mint was the first in the country to mint coins of tempered steel. </w:t>
      </w:r>
    </w:p>
    <w:p w14:paraId="71DA9096" w14:textId="77777777" w:rsidR="00D60FC5" w:rsidRPr="00D60FC5" w:rsidRDefault="00D60FC5" w:rsidP="00D60FC5">
      <w:pPr>
        <w:jc w:val="both"/>
        <w:rPr>
          <w:rFonts w:cstheme="minorHAnsi"/>
          <w:b/>
          <w:bCs/>
          <w:sz w:val="28"/>
          <w:szCs w:val="28"/>
        </w:rPr>
      </w:pPr>
      <w:r w:rsidRPr="00D60FC5">
        <w:rPr>
          <w:rFonts w:cstheme="minorHAnsi"/>
          <w:b/>
          <w:bCs/>
          <w:sz w:val="28"/>
          <w:szCs w:val="28"/>
        </w:rPr>
        <w:t xml:space="preserve">Determination Process </w:t>
      </w:r>
    </w:p>
    <w:p w14:paraId="34E35363" w14:textId="77777777" w:rsidR="006D52EF" w:rsidRDefault="00D60FC5" w:rsidP="00D234AE">
      <w:pPr>
        <w:pStyle w:val="ListParagraph"/>
        <w:numPr>
          <w:ilvl w:val="0"/>
          <w:numId w:val="6"/>
        </w:numPr>
        <w:jc w:val="both"/>
        <w:rPr>
          <w:rFonts w:cstheme="minorHAnsi"/>
          <w:sz w:val="28"/>
          <w:szCs w:val="28"/>
        </w:rPr>
      </w:pPr>
      <w:r w:rsidRPr="006D52EF">
        <w:rPr>
          <w:rFonts w:cstheme="minorHAnsi"/>
          <w:sz w:val="28"/>
          <w:szCs w:val="28"/>
        </w:rPr>
        <w:t>Choice will be done through online evaluation, Composing Test and Exchange Test. The last decision will be made dependent on Legitimacy Rundown as per marks got in Online Assessment so to speak.</w:t>
      </w:r>
    </w:p>
    <w:p w14:paraId="6AE7292E" w14:textId="4BD47909" w:rsidR="006D52EF" w:rsidRDefault="00D60FC5" w:rsidP="0013354C">
      <w:pPr>
        <w:pStyle w:val="ListParagraph"/>
        <w:numPr>
          <w:ilvl w:val="0"/>
          <w:numId w:val="6"/>
        </w:numPr>
        <w:jc w:val="both"/>
        <w:rPr>
          <w:rFonts w:cstheme="minorHAnsi"/>
          <w:sz w:val="28"/>
          <w:szCs w:val="28"/>
        </w:rPr>
      </w:pPr>
      <w:r w:rsidRPr="006D52EF">
        <w:rPr>
          <w:rFonts w:cstheme="minorHAnsi"/>
          <w:sz w:val="28"/>
          <w:szCs w:val="28"/>
        </w:rPr>
        <w:t>For Boss, Etcher, Jr. Trained professional, Jr. Office Aide and Jr. Bullion Collaborator assurance will be done dependent on online appraisal which will be of target type. Complete indications of the online evaluation will be 150.</w:t>
      </w:r>
      <w:r w:rsidR="002B027B">
        <w:rPr>
          <w:rFonts w:cstheme="minorHAnsi"/>
          <w:sz w:val="28"/>
          <w:szCs w:val="28"/>
        </w:rPr>
        <w:t xml:space="preserve"> </w:t>
      </w:r>
      <w:r w:rsidRPr="006D52EF">
        <w:rPr>
          <w:rFonts w:cstheme="minorHAnsi"/>
          <w:sz w:val="28"/>
          <w:szCs w:val="28"/>
        </w:rPr>
        <w:t>There will be negative checking of 0.25 engravings for each misguided reaction for online appraisal. The term of the appraisal is 120 minutes.</w:t>
      </w:r>
    </w:p>
    <w:p w14:paraId="5D4A880E" w14:textId="77777777" w:rsidR="006D52EF" w:rsidRDefault="00D60FC5" w:rsidP="008223FC">
      <w:pPr>
        <w:pStyle w:val="ListParagraph"/>
        <w:numPr>
          <w:ilvl w:val="0"/>
          <w:numId w:val="6"/>
        </w:numPr>
        <w:jc w:val="both"/>
        <w:rPr>
          <w:rFonts w:cstheme="minorHAnsi"/>
          <w:sz w:val="28"/>
          <w:szCs w:val="28"/>
        </w:rPr>
      </w:pPr>
      <w:r w:rsidRPr="006D52EF">
        <w:rPr>
          <w:rFonts w:cstheme="minorHAnsi"/>
          <w:sz w:val="28"/>
          <w:szCs w:val="28"/>
        </w:rPr>
        <w:t>Composing Test in English/Hindi (English @ 40 wpm/Hindi @ 30 wpm) will be driven. Making Test may be out of qualifying nature and assessment will not be done dependent on its engravings.</w:t>
      </w:r>
    </w:p>
    <w:p w14:paraId="03F6700E" w14:textId="5F7665FB" w:rsidR="00D60FC5" w:rsidRPr="006D52EF" w:rsidRDefault="00DA08A2" w:rsidP="008223FC">
      <w:pPr>
        <w:pStyle w:val="ListParagraph"/>
        <w:numPr>
          <w:ilvl w:val="0"/>
          <w:numId w:val="6"/>
        </w:numPr>
        <w:jc w:val="both"/>
        <w:rPr>
          <w:rFonts w:cstheme="minorHAnsi"/>
          <w:sz w:val="28"/>
          <w:szCs w:val="28"/>
        </w:rPr>
      </w:pPr>
      <w:r w:rsidRPr="006D52EF">
        <w:rPr>
          <w:rFonts w:cstheme="minorHAnsi"/>
          <w:sz w:val="28"/>
          <w:szCs w:val="28"/>
        </w:rPr>
        <w:t>Exchange Test</w:t>
      </w:r>
      <w:r w:rsidR="00D60FC5" w:rsidRPr="006D52EF">
        <w:rPr>
          <w:rFonts w:cstheme="minorHAnsi"/>
          <w:sz w:val="28"/>
          <w:szCs w:val="28"/>
        </w:rPr>
        <w:t xml:space="preserve"> may be of qualifying nature and examination will not be done dependent on its engravings. </w:t>
      </w:r>
    </w:p>
    <w:p w14:paraId="3F0F70F3" w14:textId="77777777" w:rsidR="00D60FC5" w:rsidRPr="00D60FC5" w:rsidRDefault="00D60FC5" w:rsidP="00D60FC5">
      <w:pPr>
        <w:jc w:val="both"/>
        <w:rPr>
          <w:rFonts w:cstheme="minorHAnsi"/>
          <w:b/>
          <w:bCs/>
          <w:sz w:val="28"/>
          <w:szCs w:val="28"/>
        </w:rPr>
      </w:pPr>
      <w:r w:rsidRPr="00D60FC5">
        <w:rPr>
          <w:rFonts w:cstheme="minorHAnsi"/>
          <w:b/>
          <w:bCs/>
          <w:sz w:val="28"/>
          <w:szCs w:val="28"/>
        </w:rPr>
        <w:t xml:space="preserve">General Announcements Related to Recruitment </w:t>
      </w:r>
    </w:p>
    <w:p w14:paraId="5A6CE1CD" w14:textId="77777777" w:rsidR="0094502C" w:rsidRDefault="00D60FC5" w:rsidP="00215DA6">
      <w:pPr>
        <w:pStyle w:val="ListParagraph"/>
        <w:numPr>
          <w:ilvl w:val="0"/>
          <w:numId w:val="7"/>
        </w:numPr>
        <w:jc w:val="both"/>
        <w:rPr>
          <w:rFonts w:cstheme="minorHAnsi"/>
          <w:sz w:val="28"/>
          <w:szCs w:val="28"/>
        </w:rPr>
      </w:pPr>
      <w:r w:rsidRPr="0094502C">
        <w:rPr>
          <w:rFonts w:cstheme="minorHAnsi"/>
          <w:sz w:val="28"/>
          <w:szCs w:val="28"/>
        </w:rPr>
        <w:t>Opening date of online enrolment – 20/06/2021</w:t>
      </w:r>
    </w:p>
    <w:p w14:paraId="572EC5C4" w14:textId="337EC9BD" w:rsidR="0094502C" w:rsidRDefault="00D60FC5" w:rsidP="00D60FC5">
      <w:pPr>
        <w:pStyle w:val="ListParagraph"/>
        <w:numPr>
          <w:ilvl w:val="0"/>
          <w:numId w:val="7"/>
        </w:numPr>
        <w:jc w:val="both"/>
        <w:rPr>
          <w:rFonts w:cstheme="minorHAnsi"/>
          <w:sz w:val="28"/>
          <w:szCs w:val="28"/>
        </w:rPr>
      </w:pPr>
      <w:r w:rsidRPr="0094502C">
        <w:rPr>
          <w:rFonts w:cstheme="minorHAnsi"/>
          <w:sz w:val="28"/>
          <w:szCs w:val="28"/>
        </w:rPr>
        <w:t xml:space="preserve">Shutting date of online </w:t>
      </w:r>
      <w:r w:rsidR="00DA08A2" w:rsidRPr="0094502C">
        <w:rPr>
          <w:rFonts w:cstheme="minorHAnsi"/>
          <w:sz w:val="28"/>
          <w:szCs w:val="28"/>
        </w:rPr>
        <w:t>enrolment</w:t>
      </w:r>
      <w:r w:rsidRPr="0094502C">
        <w:rPr>
          <w:rFonts w:cstheme="minorHAnsi"/>
          <w:sz w:val="28"/>
          <w:szCs w:val="28"/>
        </w:rPr>
        <w:t xml:space="preserve"> – 20/07/2021</w:t>
      </w:r>
    </w:p>
    <w:p w14:paraId="14D1EA48" w14:textId="135D4665" w:rsidR="0094502C" w:rsidRDefault="00D60FC5" w:rsidP="00D60FC5">
      <w:pPr>
        <w:pStyle w:val="ListParagraph"/>
        <w:numPr>
          <w:ilvl w:val="0"/>
          <w:numId w:val="7"/>
        </w:numPr>
        <w:jc w:val="both"/>
        <w:rPr>
          <w:rFonts w:cstheme="minorHAnsi"/>
          <w:sz w:val="28"/>
          <w:szCs w:val="28"/>
        </w:rPr>
      </w:pPr>
      <w:r w:rsidRPr="0094502C">
        <w:rPr>
          <w:rFonts w:cstheme="minorHAnsi"/>
          <w:sz w:val="28"/>
          <w:szCs w:val="28"/>
        </w:rPr>
        <w:t xml:space="preserve">Conditional Date of Online Assessment which will be coordinated "On the web" at picked </w:t>
      </w:r>
      <w:r w:rsidR="00DA08A2" w:rsidRPr="0094502C">
        <w:rPr>
          <w:rFonts w:cstheme="minorHAnsi"/>
          <w:sz w:val="28"/>
          <w:szCs w:val="28"/>
        </w:rPr>
        <w:t>centres</w:t>
      </w:r>
      <w:r w:rsidRPr="0094502C">
        <w:rPr>
          <w:rFonts w:cstheme="minorHAnsi"/>
          <w:sz w:val="28"/>
          <w:szCs w:val="28"/>
        </w:rPr>
        <w:t xml:space="preserve">. – are urged to keep on checking the India </w:t>
      </w:r>
      <w:r w:rsidRPr="0094502C">
        <w:rPr>
          <w:rFonts w:cstheme="minorHAnsi"/>
          <w:sz w:val="28"/>
          <w:szCs w:val="28"/>
        </w:rPr>
        <w:lastRenderedPageBreak/>
        <w:t>Government Mint, Kolkata webpage for dates of downloading the Concede Card.</w:t>
      </w:r>
    </w:p>
    <w:p w14:paraId="02F37423" w14:textId="6E06C574" w:rsidR="00D60FC5" w:rsidRPr="0094502C" w:rsidRDefault="00D60FC5" w:rsidP="00D60FC5">
      <w:pPr>
        <w:pStyle w:val="ListParagraph"/>
        <w:numPr>
          <w:ilvl w:val="0"/>
          <w:numId w:val="7"/>
        </w:numPr>
        <w:jc w:val="both"/>
        <w:rPr>
          <w:rFonts w:cstheme="minorHAnsi"/>
          <w:sz w:val="28"/>
          <w:szCs w:val="28"/>
        </w:rPr>
      </w:pPr>
      <w:r w:rsidRPr="0094502C">
        <w:rPr>
          <w:rFonts w:cstheme="minorHAnsi"/>
          <w:sz w:val="28"/>
          <w:szCs w:val="28"/>
        </w:rPr>
        <w:t>Connection for download of surrender cards from the webpage Candidates are urged to keep on checking the India Government Mint, Kolkata website for dates of downloading the Concede Card.</w:t>
      </w:r>
    </w:p>
    <w:p w14:paraId="2159EEC9" w14:textId="73B1B180" w:rsidR="001C1B4E" w:rsidRPr="004C76B0" w:rsidRDefault="001C1B4E" w:rsidP="001C1B4E">
      <w:pPr>
        <w:jc w:val="both"/>
        <w:rPr>
          <w:rFonts w:cstheme="minorHAnsi"/>
          <w:b/>
          <w:bCs/>
          <w:sz w:val="28"/>
          <w:szCs w:val="28"/>
        </w:rPr>
      </w:pPr>
      <w:r w:rsidRPr="004C76B0">
        <w:rPr>
          <w:rFonts w:cstheme="minorHAnsi"/>
          <w:b/>
          <w:bCs/>
          <w:sz w:val="28"/>
          <w:szCs w:val="28"/>
        </w:rPr>
        <w:t xml:space="preserve">Age limit: </w:t>
      </w:r>
    </w:p>
    <w:p w14:paraId="7E427E3E" w14:textId="7DE27829" w:rsidR="001C1B4E" w:rsidRPr="001F2F34" w:rsidRDefault="001C1B4E" w:rsidP="001C1B4E">
      <w:pPr>
        <w:pStyle w:val="ListParagraph"/>
        <w:numPr>
          <w:ilvl w:val="0"/>
          <w:numId w:val="3"/>
        </w:numPr>
        <w:jc w:val="both"/>
        <w:rPr>
          <w:rFonts w:cstheme="minorHAnsi"/>
          <w:sz w:val="28"/>
          <w:szCs w:val="28"/>
        </w:rPr>
      </w:pPr>
      <w:r w:rsidRPr="001F2F34">
        <w:rPr>
          <w:rFonts w:cstheme="minorHAnsi"/>
          <w:sz w:val="28"/>
          <w:szCs w:val="28"/>
        </w:rPr>
        <w:t xml:space="preserve">Chief – 18 to 30 years </w:t>
      </w:r>
    </w:p>
    <w:p w14:paraId="794B05D7" w14:textId="7428B66D" w:rsidR="001C1B4E" w:rsidRPr="001F2F34" w:rsidRDefault="001C1B4E" w:rsidP="001C1B4E">
      <w:pPr>
        <w:pStyle w:val="ListParagraph"/>
        <w:numPr>
          <w:ilvl w:val="0"/>
          <w:numId w:val="3"/>
        </w:numPr>
        <w:jc w:val="both"/>
        <w:rPr>
          <w:rFonts w:cstheme="minorHAnsi"/>
          <w:sz w:val="28"/>
          <w:szCs w:val="28"/>
        </w:rPr>
      </w:pPr>
      <w:r w:rsidRPr="001F2F34">
        <w:rPr>
          <w:rFonts w:cstheme="minorHAnsi"/>
          <w:sz w:val="28"/>
          <w:szCs w:val="28"/>
        </w:rPr>
        <w:t xml:space="preserve">Etcher – 18 to 28 years </w:t>
      </w:r>
    </w:p>
    <w:p w14:paraId="06EA3601" w14:textId="58EB656A" w:rsidR="001C1B4E" w:rsidRPr="001F2F34" w:rsidRDefault="001C1B4E" w:rsidP="001C1B4E">
      <w:pPr>
        <w:pStyle w:val="ListParagraph"/>
        <w:numPr>
          <w:ilvl w:val="0"/>
          <w:numId w:val="3"/>
        </w:numPr>
        <w:jc w:val="both"/>
        <w:rPr>
          <w:rFonts w:cstheme="minorHAnsi"/>
          <w:sz w:val="28"/>
          <w:szCs w:val="28"/>
        </w:rPr>
      </w:pPr>
      <w:r w:rsidRPr="001F2F34">
        <w:rPr>
          <w:rFonts w:cstheme="minorHAnsi"/>
          <w:sz w:val="28"/>
          <w:szCs w:val="28"/>
        </w:rPr>
        <w:t xml:space="preserve">Junior Office Right hand – 18 to 28 years </w:t>
      </w:r>
    </w:p>
    <w:p w14:paraId="78AAE675" w14:textId="599E6A0C" w:rsidR="001C1B4E" w:rsidRPr="001F2F34" w:rsidRDefault="001C1B4E" w:rsidP="001C1B4E">
      <w:pPr>
        <w:pStyle w:val="ListParagraph"/>
        <w:numPr>
          <w:ilvl w:val="0"/>
          <w:numId w:val="3"/>
        </w:numPr>
        <w:jc w:val="both"/>
        <w:rPr>
          <w:rFonts w:cstheme="minorHAnsi"/>
          <w:sz w:val="28"/>
          <w:szCs w:val="28"/>
        </w:rPr>
      </w:pPr>
      <w:r w:rsidRPr="001F2F34">
        <w:rPr>
          <w:rFonts w:cstheme="minorHAnsi"/>
          <w:sz w:val="28"/>
          <w:szCs w:val="28"/>
        </w:rPr>
        <w:t xml:space="preserve">Junior Bullion Right hand – 18 to 28 years </w:t>
      </w:r>
    </w:p>
    <w:p w14:paraId="58C65B8B" w14:textId="111E6C81" w:rsidR="001C1B4E" w:rsidRPr="001F2F34" w:rsidRDefault="001C1B4E" w:rsidP="001C1B4E">
      <w:pPr>
        <w:pStyle w:val="ListParagraph"/>
        <w:numPr>
          <w:ilvl w:val="0"/>
          <w:numId w:val="3"/>
        </w:numPr>
        <w:jc w:val="both"/>
        <w:rPr>
          <w:rFonts w:cstheme="minorHAnsi"/>
          <w:sz w:val="28"/>
          <w:szCs w:val="28"/>
        </w:rPr>
      </w:pPr>
      <w:r w:rsidRPr="001F2F34">
        <w:rPr>
          <w:rFonts w:cstheme="minorHAnsi"/>
          <w:sz w:val="28"/>
          <w:szCs w:val="28"/>
        </w:rPr>
        <w:t>Junior Expert – 18 to 25 years</w:t>
      </w:r>
    </w:p>
    <w:p w14:paraId="43DEE330" w14:textId="43F8B2B7" w:rsidR="0010048C" w:rsidRPr="004C76B0" w:rsidRDefault="00CF25A9" w:rsidP="0010048C">
      <w:pPr>
        <w:jc w:val="both"/>
        <w:rPr>
          <w:rFonts w:cstheme="minorHAnsi"/>
          <w:b/>
          <w:bCs/>
          <w:sz w:val="28"/>
          <w:szCs w:val="28"/>
        </w:rPr>
      </w:pPr>
      <w:r w:rsidRPr="004C76B0">
        <w:rPr>
          <w:rFonts w:cstheme="minorHAnsi"/>
          <w:b/>
          <w:bCs/>
          <w:sz w:val="28"/>
          <w:szCs w:val="28"/>
        </w:rPr>
        <w:t>Salary Details:</w:t>
      </w:r>
    </w:p>
    <w:p w14:paraId="21871939" w14:textId="0317A85E" w:rsidR="0010048C" w:rsidRPr="001F2F34" w:rsidRDefault="0010048C" w:rsidP="0010048C">
      <w:pPr>
        <w:pStyle w:val="ListParagraph"/>
        <w:numPr>
          <w:ilvl w:val="0"/>
          <w:numId w:val="4"/>
        </w:numPr>
        <w:jc w:val="both"/>
        <w:rPr>
          <w:rFonts w:cstheme="minorHAnsi"/>
          <w:sz w:val="28"/>
          <w:szCs w:val="28"/>
        </w:rPr>
      </w:pPr>
      <w:r w:rsidRPr="001F2F34">
        <w:rPr>
          <w:rFonts w:cstheme="minorHAnsi"/>
          <w:sz w:val="28"/>
          <w:szCs w:val="28"/>
        </w:rPr>
        <w:t xml:space="preserve">Boss – Rs. 26000-100000/month </w:t>
      </w:r>
    </w:p>
    <w:p w14:paraId="537821DD" w14:textId="000958D1" w:rsidR="0010048C" w:rsidRPr="001F2F34" w:rsidRDefault="0010048C" w:rsidP="0010048C">
      <w:pPr>
        <w:pStyle w:val="ListParagraph"/>
        <w:numPr>
          <w:ilvl w:val="0"/>
          <w:numId w:val="4"/>
        </w:numPr>
        <w:jc w:val="both"/>
        <w:rPr>
          <w:rFonts w:cstheme="minorHAnsi"/>
          <w:sz w:val="28"/>
          <w:szCs w:val="28"/>
        </w:rPr>
      </w:pPr>
      <w:r w:rsidRPr="001F2F34">
        <w:rPr>
          <w:rFonts w:cstheme="minorHAnsi"/>
          <w:sz w:val="28"/>
          <w:szCs w:val="28"/>
        </w:rPr>
        <w:t xml:space="preserve">Etcher – Rs. 8500-20850/month </w:t>
      </w:r>
    </w:p>
    <w:p w14:paraId="255DA8A5" w14:textId="334A12B0" w:rsidR="0010048C" w:rsidRPr="001F2F34" w:rsidRDefault="0010048C" w:rsidP="0010048C">
      <w:pPr>
        <w:pStyle w:val="ListParagraph"/>
        <w:numPr>
          <w:ilvl w:val="0"/>
          <w:numId w:val="4"/>
        </w:numPr>
        <w:jc w:val="both"/>
        <w:rPr>
          <w:rFonts w:cstheme="minorHAnsi"/>
          <w:sz w:val="28"/>
          <w:szCs w:val="28"/>
        </w:rPr>
      </w:pPr>
      <w:r w:rsidRPr="001F2F34">
        <w:rPr>
          <w:rFonts w:cstheme="minorHAnsi"/>
          <w:sz w:val="28"/>
          <w:szCs w:val="28"/>
        </w:rPr>
        <w:t xml:space="preserve">Junior Office Colleague – Rs. 8350-20470/month </w:t>
      </w:r>
    </w:p>
    <w:p w14:paraId="5CCCF501" w14:textId="08499AF1" w:rsidR="0010048C" w:rsidRPr="001F2F34" w:rsidRDefault="0010048C" w:rsidP="0010048C">
      <w:pPr>
        <w:pStyle w:val="ListParagraph"/>
        <w:numPr>
          <w:ilvl w:val="0"/>
          <w:numId w:val="4"/>
        </w:numPr>
        <w:jc w:val="both"/>
        <w:rPr>
          <w:rFonts w:cstheme="minorHAnsi"/>
          <w:sz w:val="28"/>
          <w:szCs w:val="28"/>
        </w:rPr>
      </w:pPr>
      <w:r w:rsidRPr="001F2F34">
        <w:rPr>
          <w:rFonts w:cstheme="minorHAnsi"/>
          <w:sz w:val="28"/>
          <w:szCs w:val="28"/>
        </w:rPr>
        <w:t xml:space="preserve">Junior Bullion Partner – Rs. 8350-20470/month </w:t>
      </w:r>
    </w:p>
    <w:p w14:paraId="028736BC" w14:textId="3C8662FB" w:rsidR="0010048C" w:rsidRPr="001F2F34" w:rsidRDefault="0010048C" w:rsidP="0010048C">
      <w:pPr>
        <w:pStyle w:val="ListParagraph"/>
        <w:numPr>
          <w:ilvl w:val="0"/>
          <w:numId w:val="4"/>
        </w:numPr>
        <w:jc w:val="both"/>
        <w:rPr>
          <w:rFonts w:cstheme="minorHAnsi"/>
          <w:sz w:val="28"/>
          <w:szCs w:val="28"/>
        </w:rPr>
      </w:pPr>
      <w:r w:rsidRPr="001F2F34">
        <w:rPr>
          <w:rFonts w:cstheme="minorHAnsi"/>
          <w:sz w:val="28"/>
          <w:szCs w:val="28"/>
        </w:rPr>
        <w:t>Junior Professional – Rs. 7750-19040/month</w:t>
      </w:r>
    </w:p>
    <w:p w14:paraId="6D66A16C" w14:textId="14861105" w:rsidR="00103772" w:rsidRPr="004C76B0" w:rsidRDefault="00103772" w:rsidP="00103772">
      <w:pPr>
        <w:jc w:val="both"/>
        <w:rPr>
          <w:rFonts w:cstheme="minorHAnsi"/>
          <w:b/>
          <w:bCs/>
          <w:sz w:val="28"/>
          <w:szCs w:val="28"/>
        </w:rPr>
      </w:pPr>
      <w:r w:rsidRPr="004C76B0">
        <w:rPr>
          <w:rFonts w:cstheme="minorHAnsi"/>
          <w:b/>
          <w:bCs/>
          <w:sz w:val="28"/>
          <w:szCs w:val="28"/>
        </w:rPr>
        <w:t>Application Fee:</w:t>
      </w:r>
    </w:p>
    <w:p w14:paraId="154B9B35" w14:textId="77777777" w:rsidR="00103772" w:rsidRPr="001F2F34" w:rsidRDefault="00103772" w:rsidP="00103772">
      <w:pPr>
        <w:pStyle w:val="ListParagraph"/>
        <w:numPr>
          <w:ilvl w:val="0"/>
          <w:numId w:val="5"/>
        </w:numPr>
        <w:jc w:val="both"/>
        <w:rPr>
          <w:rFonts w:cstheme="minorHAnsi"/>
          <w:sz w:val="28"/>
          <w:szCs w:val="28"/>
        </w:rPr>
      </w:pPr>
      <w:r w:rsidRPr="001F2F34">
        <w:rPr>
          <w:rFonts w:cstheme="minorHAnsi"/>
          <w:sz w:val="28"/>
          <w:szCs w:val="28"/>
        </w:rPr>
        <w:t>SC/ST/PwBDs/ExSM: Rs. 200/- (Intimation Charges only)</w:t>
      </w:r>
    </w:p>
    <w:p w14:paraId="1534B2C9" w14:textId="15FF2507" w:rsidR="00897EAA" w:rsidRPr="00EE2CF6" w:rsidRDefault="00103772" w:rsidP="00897EAA">
      <w:pPr>
        <w:pStyle w:val="ListParagraph"/>
        <w:numPr>
          <w:ilvl w:val="0"/>
          <w:numId w:val="5"/>
        </w:numPr>
        <w:jc w:val="both"/>
        <w:rPr>
          <w:rFonts w:cstheme="minorHAnsi"/>
          <w:sz w:val="28"/>
          <w:szCs w:val="28"/>
        </w:rPr>
      </w:pPr>
      <w:r w:rsidRPr="001F2F34">
        <w:rPr>
          <w:rFonts w:cstheme="minorHAnsi"/>
          <w:sz w:val="28"/>
          <w:szCs w:val="28"/>
        </w:rPr>
        <w:t>GEN/OBC/EWSs: Rs. 600/- (Application fee including intimation charges)</w:t>
      </w:r>
    </w:p>
    <w:sectPr w:rsidR="00897EAA" w:rsidRPr="00EE2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C2B"/>
    <w:multiLevelType w:val="hybridMultilevel"/>
    <w:tmpl w:val="B33CAC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4B238C"/>
    <w:multiLevelType w:val="hybridMultilevel"/>
    <w:tmpl w:val="B72A6C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D56083F"/>
    <w:multiLevelType w:val="hybridMultilevel"/>
    <w:tmpl w:val="2DDE29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0DC3765"/>
    <w:multiLevelType w:val="hybridMultilevel"/>
    <w:tmpl w:val="948E8B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9B32B6"/>
    <w:multiLevelType w:val="hybridMultilevel"/>
    <w:tmpl w:val="546C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35AB9"/>
    <w:multiLevelType w:val="hybridMultilevel"/>
    <w:tmpl w:val="65389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6800ABF"/>
    <w:multiLevelType w:val="hybridMultilevel"/>
    <w:tmpl w:val="F6E6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33"/>
    <w:rsid w:val="0010048C"/>
    <w:rsid w:val="00103772"/>
    <w:rsid w:val="00160B8B"/>
    <w:rsid w:val="001C1B4E"/>
    <w:rsid w:val="001F2F34"/>
    <w:rsid w:val="0026565C"/>
    <w:rsid w:val="002B027B"/>
    <w:rsid w:val="003108B9"/>
    <w:rsid w:val="003E3985"/>
    <w:rsid w:val="0041596B"/>
    <w:rsid w:val="004C76B0"/>
    <w:rsid w:val="00611284"/>
    <w:rsid w:val="00616ECB"/>
    <w:rsid w:val="006525FE"/>
    <w:rsid w:val="00663B02"/>
    <w:rsid w:val="006D52EF"/>
    <w:rsid w:val="0070206C"/>
    <w:rsid w:val="00846933"/>
    <w:rsid w:val="00897EAA"/>
    <w:rsid w:val="008B181D"/>
    <w:rsid w:val="008E1A7B"/>
    <w:rsid w:val="0094502C"/>
    <w:rsid w:val="00980E1F"/>
    <w:rsid w:val="009857CE"/>
    <w:rsid w:val="009E60E0"/>
    <w:rsid w:val="00A1763B"/>
    <w:rsid w:val="00AE1075"/>
    <w:rsid w:val="00B046A4"/>
    <w:rsid w:val="00CF25A9"/>
    <w:rsid w:val="00D60FC5"/>
    <w:rsid w:val="00D842B7"/>
    <w:rsid w:val="00DA08A2"/>
    <w:rsid w:val="00E11940"/>
    <w:rsid w:val="00EE2CF6"/>
    <w:rsid w:val="00FB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98E2"/>
  <w15:chartTrackingRefBased/>
  <w15:docId w15:val="{FEB7088C-7DA9-4764-AAEA-F4137EDD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75206">
      <w:bodyDiv w:val="1"/>
      <w:marLeft w:val="0"/>
      <w:marRight w:val="0"/>
      <w:marTop w:val="0"/>
      <w:marBottom w:val="0"/>
      <w:divBdr>
        <w:top w:val="none" w:sz="0" w:space="0" w:color="auto"/>
        <w:left w:val="none" w:sz="0" w:space="0" w:color="auto"/>
        <w:bottom w:val="none" w:sz="0" w:space="0" w:color="auto"/>
        <w:right w:val="none" w:sz="0" w:space="0" w:color="auto"/>
      </w:divBdr>
    </w:div>
    <w:div w:id="829980054">
      <w:bodyDiv w:val="1"/>
      <w:marLeft w:val="0"/>
      <w:marRight w:val="0"/>
      <w:marTop w:val="0"/>
      <w:marBottom w:val="0"/>
      <w:divBdr>
        <w:top w:val="none" w:sz="0" w:space="0" w:color="auto"/>
        <w:left w:val="none" w:sz="0" w:space="0" w:color="auto"/>
        <w:bottom w:val="none" w:sz="0" w:space="0" w:color="auto"/>
        <w:right w:val="none" w:sz="0" w:space="0" w:color="auto"/>
      </w:divBdr>
      <w:divsChild>
        <w:div w:id="59331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Suyash Gadiwan</cp:lastModifiedBy>
  <cp:revision>40</cp:revision>
  <dcterms:created xsi:type="dcterms:W3CDTF">2021-06-29T08:02:00Z</dcterms:created>
  <dcterms:modified xsi:type="dcterms:W3CDTF">2021-06-29T19:14:00Z</dcterms:modified>
</cp:coreProperties>
</file>