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Reviewed specification simulation fixture</w:t>
      </w:r>
    </w:p>
    <w:p>
      <w:r>
        <w:t>This fixture represents a specification with no simulated opportunities. It does not certify compliance.</w:t>
      </w:r>
    </w:p>
    <w:p>
      <w:r>
        <w:t>Structural concrete already specifies the selected low carbon concrete mix for 1000 m3.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