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Office specification simulation fixture</w:t>
      </w:r>
    </w:p>
    <w:p>
      <w:r>
        <w:t>These clauses support deterministic workflow testing only. All quantities and factors are illustrative.</w:t>
      </w:r>
    </w:p>
    <w:p>
      <w:r>
        <w:t>Structural concrete shall use ordinary Portland cement concrete grade C30 for 1000 m3.</w:t>
      </w:r>
    </w:p>
    <w:p>
      <w:r>
        <w:t>Reinforcement shall use conventional steel reinforcement for 100 tonnes.</w:t>
      </w:r>
    </w:p>
    <w:p>
      <w:r>
        <w:t>Interior partitions shall use standard gypsum board for 2000 m2.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