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B Template</w:t>
      </w:r>
    </w:p>
    <w:p>
      <w:pPr>
        <w:jc w:val="center"/>
      </w:pPr>
      <w:r>
        <w:rPr>
          <w:i/>
          <w:sz w:val="24"/>
        </w:rPr>
        <w:t>Training, competency, and currency programme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B.1 Purpose</w:t>
      </w:r>
    </w:p>
    <w:p>
      <w:r>
        <w:t>This annex defines the training, competency, and currency arrangements used to assign personnel to operational roles.</w:t>
      </w:r>
    </w:p>
    <w:p>
      <w:pPr>
        <w:pStyle w:val="Heading1"/>
      </w:pPr>
      <w:r>
        <w:t>B.2 Training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Training element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Delivery method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record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General induction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Brief all crew on the operation, safety policy, roles, communication, stop criteria, and reporting.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[In person / online / hybrid]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Induction sign-in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SORA and authorisation briefing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Explain the operational limits, assumptions, and evidence obligations.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[Briefing]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Attendance record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Platform-specific briefing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Ensure crew know the aircraft, interfaces, normal procedures, and limitations.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[Walkthrough]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Competency matrix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Emergency response plan walkthrough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Confirm understanding of escalation logic and role actions.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[Tabletop exercise / group walkthrough]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ERP attendance / 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Practical sign-off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Confirm role-specific practical ability where needed.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[Flight / simulation / supervised walkthrough]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Competency matrix</w:t>
            </w:r>
          </w:p>
        </w:tc>
      </w:tr>
    </w:tbl>
    <w:p/>
    <w:p>
      <w:pPr>
        <w:pStyle w:val="Heading1"/>
      </w:pPr>
      <w:r>
        <w:t>B.3 Role-specific competency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Minimum knowledge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Practical competence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Currency evidence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Sign-off authority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Regulatory category, aircraft limits, operating area, normal and non-normal procedures.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 aircraft operation, emergency actions, C2 loss handling, return procedures.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[Hours / recent flights / platform familiarity]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Checklist structure, call-outs, emergency support logic.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Correct checklist reading, prompting, and communication.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[Recent operational participation]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Ground-risk triggers, wildlife and third-party proximity rules.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Correct reporting and stop-call behaviour.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[Briefing / exercise]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Airspace awareness method, traffic reporting, communication pathways.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Traffic scan and escalation behaviour.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[Briefing / exercise]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Mission aims, operational constraints, decision thresholds.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Coordination without overriding flight safety authority.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[Experience / briefing]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</w:tbl>
    <w:p/>
    <w:p>
      <w:pPr>
        <w:pStyle w:val="Heading1"/>
      </w:pPr>
      <w:r>
        <w:t>B.4 Currency and recurrency</w:t>
      </w:r>
    </w:p>
    <w:p>
      <w:pPr>
        <w:pStyle w:val="ListBullet"/>
      </w:pPr>
      <w:r>
        <w:t>Define minimum recent experience before BVLOS authorisation or role assignment.</w:t>
      </w:r>
    </w:p>
    <w:p>
      <w:pPr>
        <w:pStyle w:val="ListBullet"/>
      </w:pPr>
      <w:r>
        <w:t>Define whether equivalent training before deployment can replace in-campaign familiarisation.</w:t>
      </w:r>
    </w:p>
    <w:p>
      <w:pPr>
        <w:pStyle w:val="ListBullet"/>
      </w:pPr>
      <w:r>
        <w:t>Define when reassessment is required after a long break, platform change, incident, or procedure update.</w:t>
      </w:r>
    </w:p>
    <w:p>
      <w:pPr>
        <w:pStyle w:val="Heading1"/>
      </w:pPr>
      <w:r>
        <w:t>B.5 Evidence records</w:t>
      </w:r>
    </w:p>
    <w:p>
      <w:pPr>
        <w:pStyle w:val="ListBullet"/>
      </w:pPr>
      <w:r>
        <w:t>Use Annex B.1 to capture induction attendance.</w:t>
      </w:r>
    </w:p>
    <w:p>
      <w:pPr>
        <w:pStyle w:val="ListBullet"/>
      </w:pPr>
      <w:r>
        <w:t>Use Annex B.2 to capture role competence, currency, and sign-off evidence.</w:t>
      </w:r>
    </w:p>
    <w:p>
      <w:pPr>
        <w:pStyle w:val="ListBullet"/>
      </w:pPr>
      <w:r>
        <w:t>Store supporting evidence references instead of unnecessary personal documents.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B Training and Competency Programme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