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C Template</w:t>
      </w:r>
    </w:p>
    <w:p>
      <w:pPr>
        <w:jc w:val="center"/>
      </w:pPr>
      <w:r>
        <w:rPr>
          <w:i/>
          <w:sz w:val="24"/>
        </w:rPr>
        <w:t>Maintenance and continuing airworthiness manual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C.1 Purpose</w:t>
      </w:r>
    </w:p>
    <w:p>
      <w:r>
        <w:t>This annex defines how the operator records aircraft configuration, inspection, maintenance, conformity, and return-to-service decisions during a field deployment.</w:t>
      </w:r>
    </w:p>
    <w:p>
      <w:pPr>
        <w:pStyle w:val="Heading1"/>
      </w:pPr>
      <w:r>
        <w:t>C.2 Fleet and configuration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Aircraft ID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Manufacturer / builder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Configuration baseline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Authorisation / manifest reference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Inspection template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[ID]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[Off-the-shelf / custom]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[Name / organisation]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[Version / configuration]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[Reference]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[C.1 / C.2 / platform checklist]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[ID]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[Off-the-shelf / custom]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[Name / organisation]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[Version / configuration]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[Reference]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[C.1 / C.2 / platform checklist]</w:t>
            </w:r>
          </w:p>
        </w:tc>
      </w:tr>
    </w:tbl>
    <w:p/>
    <w:p>
      <w:pPr>
        <w:pStyle w:val="Heading1"/>
      </w:pPr>
      <w:r>
        <w:t>C.3 Inspection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Inspection level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8"/>
              </w:rPr>
              <w:t>Minimum record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Assembly / configuration inspection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After assembly, repair, re-assembly, software update, payload change, or configuration change.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Checklist, reviewer, date, decision.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Pre-flight inspection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Before every flight or operational block.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Checklist or pilot log confirmation.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Post-flight inspection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After every flight or operational block.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Aircraft condition, anomalies, action 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Trigger-based inspection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After hard landing, strike, abnormal vibration/noise, failsafe, loss-link event, or other abnormal event.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Inspection findings and return-to-service decision.</w:t>
            </w:r>
          </w:p>
        </w:tc>
      </w:tr>
    </w:tbl>
    <w:p/>
    <w:p>
      <w:pPr>
        <w:pStyle w:val="Heading1"/>
      </w:pPr>
      <w:r>
        <w:t>C.4 Independence and second-person verification</w:t>
      </w:r>
    </w:p>
    <w:p>
      <w:r>
        <w:t>Where practical, custom or experimental platforms should receive a second-person verification step. This helps reduce builder familiarity bias and provides clearer assurance evidence.</w:t>
      </w:r>
    </w:p>
    <w:p>
      <w:pPr>
        <w:pStyle w:val="Heading1"/>
      </w:pPr>
      <w:r>
        <w:t>C.5 Maintenance and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Aircraft ID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Finding / defect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Action taken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Return-to-service decision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Reviewed by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C.6 Conformity control</w:t>
      </w:r>
    </w:p>
    <w:p>
      <w:pPr>
        <w:pStyle w:val="ListBullet"/>
      </w:pPr>
      <w:r>
        <w:t>Define the approved configuration for each aircraft.</w:t>
      </w:r>
    </w:p>
    <w:p>
      <w:pPr>
        <w:pStyle w:val="ListBullet"/>
      </w:pPr>
      <w:r>
        <w:t>Record any configuration change that affects structure, propulsion, autopilot, payload, C2 link, firmware, software, failsafe, battery, or operating limitation.</w:t>
      </w:r>
    </w:p>
    <w:p>
      <w:pPr>
        <w:pStyle w:val="ListBullet"/>
      </w:pPr>
      <w:r>
        <w:t>Do not return an aircraft to service after a material change until the required conformity check is completed.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C Maintenance and Continuing Airworthiness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