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Authorised Representative agreement (if non-EU)</w:t>
      </w:r>
    </w:p>
    <w:p>
      <w:r>
        <w:rPr>
          <w:b/>
        </w:rPr>
        <w:t xml:space="preserve">Category: </w:t>
      </w:r>
      <w:r>
        <w:t>Economic Operators and Responsibilities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Document the mandate and responsibilities agreed with the EU Authorised Representative.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Economic Operators and Responsibilities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