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Equivalence rationale (if any)</w:t>
      </w:r>
    </w:p>
    <w:p>
      <w:r>
        <w:rPr>
          <w:b/>
        </w:rPr>
        <w:t xml:space="preserve">Category: </w:t>
      </w:r>
      <w:r>
        <w:t>Clinical and Performance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Explain any claimed equivalence and why the evidence is sufficient.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purpose of this document and what decision or output should it support?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product, version, configuration or document scope does this document cover?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Which regulations, standards, guidance documents or internal procedures are relevant here?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assumptions, dependencies or exclusions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evidence, attachments or source documents support the conclusions in this document?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are the final conclusions, actions, owners and approval requirements?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Clinical and Performance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