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Intended purpose and claims section</w:t>
      </w:r>
    </w:p>
    <w:p>
      <w:r>
        <w:rPr>
          <w:b/>
        </w:rPr>
        <w:t xml:space="preserve">Category: </w:t>
      </w:r>
      <w:r>
        <w:t>Technical Documentation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Bring together the final intended purpose wording and approved claims for the technical file.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Questions to answer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  <w:vAlign w:val="center"/>
          </w:tcPr>
          <w:p>
            <w:r>
              <w:t>Question / prompt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t>Response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is the purpose of this document and what decision or output should it support?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product, version, configuration or document scope does this document cover?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Which regulations, standards, guidance documents or internal procedures are relevant here?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assumptions, dependencies or exclusions apply?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evidence, attachments or source documents support the conclusions in this document?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are the final conclusions, actions, owners and approval requirements?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</w:tbl>
    <w:p/>
    <w:p>
      <w:pPr>
        <w:pStyle w:val="Heading1"/>
      </w:pPr>
      <w:r>
        <w:t>Attachments /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Reference / attachment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  <w:tc>
          <w:tcPr>
            <w:tcW w:type="dxa" w:w="3312"/>
            <w:shd w:fill="D9EAF7"/>
          </w:tcPr>
          <w:p>
            <w:r>
              <w:t>Status / location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Technical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