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International transfer assessment (if relevant)</w:t>
      </w:r>
    </w:p>
    <w:p>
      <w:r>
        <w:rPr>
          <w:b/>
        </w:rPr>
        <w:t xml:space="preserve">Category: </w:t>
      </w:r>
      <w:r>
        <w:t>Privacy and Data Governance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Assess whether international transfers occur and what safeguards are relied 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item, decision, person, organisation or dataset is being recorded?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identifiers, references, dates, versions and contact details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or attachments support the record?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status applies and who is the owner?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reviews or follow-up actions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Privacy and Data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