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Language matrix by target Member State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Track which languages are required for each target Member State and artefact.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p>
      <w:r>
        <w:t>Use one row per target country or market and update when market scope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Member State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Label language(s)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IFU language(s)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Website / marketing language(s)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Evidence source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