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PMS Plan</w:t>
      </w:r>
    </w:p>
    <w:p>
      <w:r>
        <w:rPr>
          <w:b/>
        </w:rPr>
        <w:t xml:space="preserve">Category: </w:t>
      </w:r>
      <w:r>
        <w:t>Labelling and PMS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Plan how post-market surveillance data will be collected, reviewed and acted 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products, markets and lifecycle phases are in scope?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data sources will be used for PMS, including complaints, feedback, literature, logs and field data?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methods will be used to trend, analyse and act on the data?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thresholds, review cadences and escalation routes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outputs, reports and feedback loops into CAPA, risk and clinical evaluation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Labelling and PMS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