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Risk Management Plan</w:t>
      </w:r>
    </w:p>
    <w:p>
      <w:r>
        <w:rPr>
          <w:b/>
        </w:rPr>
        <w:t xml:space="preserve">Category: </w:t>
      </w:r>
      <w:r>
        <w:t>Risk Management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Set out the scope, responsibilities, methods and acceptance criteria for risk management.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product, intended use and lifecycle phases are covered by this risk-management activity?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method, severity/probability scales and risk acceptance criteria will be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will hazards be identified, reviewed and updated over time?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is responsible for risk review, approval and post-market updates?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will benefit-risk and overall residual risk be assessed?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records form part of the risk-management file?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Risk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