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Article 9 condition analysis</w:t>
      </w:r>
    </w:p>
    <w:p>
      <w:r>
        <w:rPr>
          <w:b/>
        </w:rPr>
        <w:t xml:space="preserve">Category: </w:t>
      </w:r>
      <w:r>
        <w:t>Privacy and Data Governance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Identify the applicable special category data condition where health or other special category data are processed.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special category data are processed?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Article 9 condition is relied upon and why does it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supporting legal, organisational or ethical conditions must also be met?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are necessity, proportionality and safeguards evidenced?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Privacy and Data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