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Hazard Analysis / Hazard Log</w:t>
      </w:r>
    </w:p>
    <w:p>
      <w:r>
        <w:rPr>
          <w:b/>
        </w:rPr>
        <w:t xml:space="preserve">Category: </w:t>
      </w:r>
      <w:r>
        <w:t>Risk Management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hazards, hazardous situations, harms, causes, controls and residual risks.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p>
      <w:r>
        <w:t>Add one row per hazard or hazardous situation and keep the record live across updates.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blHeader w:val="true"/>
        </w:trPr>
        <w:tc>
          <w:tcPr>
            <w:tcW w:type="dxa" w:w="1104"/>
            <w:shd w:fill="D9EAF7"/>
            <w:vAlign w:val="center"/>
          </w:tcPr>
          <w:p>
            <w:r>
              <w:t>Hazard ID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Hazard / cause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Hazardous situation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Harm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Initial risk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Risk controls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Verification reference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Residual risk</w:t>
            </w:r>
          </w:p>
        </w:tc>
        <w:tc>
          <w:tcPr>
            <w:tcW w:type="dxa" w:w="1104"/>
            <w:shd w:fill="D9EAF7"/>
            <w:vAlign w:val="center"/>
          </w:tcPr>
          <w:p>
            <w:r>
              <w:t>Owner / status</w:t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  <w:tr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  <w:tc>
          <w:tcPr>
            <w:tcW w:type="dxa" w:w="1104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Risk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