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BC73" w14:textId="492BF079" w:rsidR="00286621" w:rsidRPr="0069399D" w:rsidRDefault="009B2E90" w:rsidP="00286621">
      <w:pPr>
        <w:jc w:val="center"/>
        <w:rPr>
          <w:rFonts w:ascii="Helvetica" w:hAnsi="Helvetica" w:cs="Times New Roman"/>
          <w:b/>
          <w:i/>
          <w:sz w:val="36"/>
          <w:szCs w:val="36"/>
        </w:rPr>
      </w:pPr>
      <w:r w:rsidRPr="0069399D">
        <w:rPr>
          <w:rFonts w:ascii="Helvetica" w:hAnsi="Helvetica" w:cs="Times New Roman"/>
          <w:b/>
          <w:sz w:val="36"/>
          <w:szCs w:val="36"/>
        </w:rPr>
        <w:t>Two new functions in the</w:t>
      </w:r>
      <w:r w:rsidR="002238C5" w:rsidRPr="0069399D">
        <w:rPr>
          <w:rFonts w:ascii="Helvetica" w:hAnsi="Helvetica" w:cs="Times New Roman"/>
          <w:b/>
          <w:sz w:val="36"/>
          <w:szCs w:val="36"/>
        </w:rPr>
        <w:t xml:space="preserve"> WormBase Enrichment Suite</w:t>
      </w:r>
    </w:p>
    <w:p w14:paraId="235A4D4F" w14:textId="457880D0" w:rsidR="00966E54" w:rsidRPr="0069399D" w:rsidRDefault="00966E54" w:rsidP="00966E54">
      <w:pPr>
        <w:autoSpaceDE w:val="0"/>
        <w:autoSpaceDN w:val="0"/>
        <w:adjustRightInd w:val="0"/>
        <w:spacing w:after="240" w:line="360" w:lineRule="atLeast"/>
        <w:rPr>
          <w:rFonts w:ascii="Helvetica" w:eastAsiaTheme="minorHAnsi" w:hAnsi="Helvetica" w:cs="Times New Roman"/>
          <w:color w:val="000000"/>
          <w:sz w:val="20"/>
          <w:szCs w:val="20"/>
        </w:rPr>
      </w:pPr>
      <w:r w:rsidRPr="0069399D">
        <w:rPr>
          <w:rFonts w:ascii="Helvetica" w:eastAsiaTheme="minorHAnsi" w:hAnsi="Helvetica" w:cs="Times New Roman"/>
          <w:color w:val="000000"/>
          <w:sz w:val="20"/>
          <w:szCs w:val="20"/>
        </w:rPr>
        <w:t>David Angeles-Albores</w:t>
      </w:r>
      <w:r w:rsidRPr="0069399D">
        <w:rPr>
          <w:rFonts w:ascii="Helvetica" w:eastAsiaTheme="minorHAnsi" w:hAnsi="Helvetica" w:cs="Times New Roman"/>
          <w:color w:val="000000"/>
          <w:position w:val="10"/>
          <w:sz w:val="20"/>
          <w:szCs w:val="20"/>
        </w:rPr>
        <w:t>1</w:t>
      </w:r>
      <w:r w:rsidRPr="0069399D">
        <w:rPr>
          <w:rFonts w:ascii="Helvetica" w:eastAsiaTheme="minorHAnsi" w:hAnsi="Helvetica" w:cs="Times New Roman"/>
          <w:color w:val="000000"/>
          <w:sz w:val="20"/>
          <w:szCs w:val="20"/>
        </w:rPr>
        <w:t>, Raymond Y. N. Lee</w:t>
      </w:r>
      <w:r w:rsidRPr="0069399D">
        <w:rPr>
          <w:rFonts w:ascii="Helvetica" w:eastAsiaTheme="minorHAnsi" w:hAnsi="Helvetica" w:cs="Times New Roman"/>
          <w:color w:val="000000"/>
          <w:position w:val="10"/>
          <w:sz w:val="20"/>
          <w:szCs w:val="20"/>
        </w:rPr>
        <w:t>1</w:t>
      </w:r>
      <w:r w:rsidRPr="0069399D">
        <w:rPr>
          <w:rFonts w:ascii="Helvetica" w:eastAsiaTheme="minorHAnsi" w:hAnsi="Helvetica" w:cs="Times New Roman"/>
          <w:color w:val="000000"/>
          <w:sz w:val="20"/>
          <w:szCs w:val="20"/>
        </w:rPr>
        <w:t>, Juancarlos Chan</w:t>
      </w:r>
      <w:r w:rsidRPr="0069399D">
        <w:rPr>
          <w:rFonts w:ascii="Helvetica" w:eastAsiaTheme="minorHAnsi" w:hAnsi="Helvetica" w:cs="Times New Roman"/>
          <w:color w:val="000000"/>
          <w:position w:val="10"/>
          <w:sz w:val="20"/>
          <w:szCs w:val="20"/>
        </w:rPr>
        <w:t>1</w:t>
      </w:r>
      <w:r w:rsidRPr="0069399D">
        <w:rPr>
          <w:rFonts w:ascii="Helvetica" w:eastAsiaTheme="minorHAnsi" w:hAnsi="Helvetica" w:cs="Times New Roman"/>
          <w:color w:val="000000"/>
          <w:sz w:val="20"/>
          <w:szCs w:val="20"/>
        </w:rPr>
        <w:t>, and Paul W. Sternberg</w:t>
      </w:r>
      <w:r w:rsidRPr="0069399D">
        <w:rPr>
          <w:rFonts w:ascii="Helvetica" w:eastAsiaTheme="minorHAnsi" w:hAnsi="Helvetica" w:cs="Times New Roman"/>
          <w:color w:val="000000"/>
          <w:position w:val="10"/>
          <w:sz w:val="20"/>
          <w:szCs w:val="20"/>
        </w:rPr>
        <w:t>1</w:t>
      </w:r>
    </w:p>
    <w:p w14:paraId="76344028" w14:textId="05B8F4EE" w:rsidR="006567EC" w:rsidRPr="0069399D" w:rsidRDefault="00966E54" w:rsidP="006A6AF7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16"/>
          <w:szCs w:val="16"/>
        </w:rPr>
      </w:pPr>
      <w:r w:rsidRPr="0069399D">
        <w:rPr>
          <w:rFonts w:ascii="Helvetica" w:hAnsi="Helvetica" w:cs="Times New Roman"/>
          <w:sz w:val="16"/>
          <w:szCs w:val="16"/>
        </w:rPr>
        <w:t>Division of Biology and Biological Engineering, Caltech, Pasadena, CA, 91125, USA</w:t>
      </w:r>
    </w:p>
    <w:p w14:paraId="137835E9" w14:textId="042EEA0E" w:rsidR="006A6AF7" w:rsidRPr="0069399D" w:rsidRDefault="006A6AF7" w:rsidP="006A6AF7">
      <w:pPr>
        <w:rPr>
          <w:rFonts w:ascii="Helvetica" w:hAnsi="Helvetica" w:cs="Times New Roman"/>
          <w:color w:val="000000" w:themeColor="text1"/>
          <w:sz w:val="16"/>
          <w:szCs w:val="16"/>
        </w:rPr>
      </w:pPr>
    </w:p>
    <w:p w14:paraId="16D5CF17" w14:textId="77777777" w:rsidR="006A6AF7" w:rsidRPr="0069399D" w:rsidRDefault="006A6AF7" w:rsidP="006A6AF7">
      <w:pPr>
        <w:rPr>
          <w:rFonts w:ascii="Helvetica" w:hAnsi="Helvetica" w:cs="Times New Roman"/>
          <w:color w:val="000000" w:themeColor="text1"/>
          <w:sz w:val="16"/>
          <w:szCs w:val="16"/>
        </w:rPr>
      </w:pPr>
    </w:p>
    <w:p w14:paraId="00E6E8C1" w14:textId="189A1680" w:rsidR="00BA74D2" w:rsidRPr="0069399D" w:rsidRDefault="009B2E90" w:rsidP="006A6AF7">
      <w:pPr>
        <w:jc w:val="center"/>
        <w:rPr>
          <w:rFonts w:ascii="Helvetica" w:hAnsi="Helvetica" w:cs="Times New Roman"/>
          <w:sz w:val="20"/>
          <w:szCs w:val="20"/>
        </w:rPr>
      </w:pPr>
      <w:r w:rsidRPr="0069399D">
        <w:rPr>
          <w:rFonts w:ascii="Helvetica" w:hAnsi="Helvetica" w:cs="Times New Roman"/>
          <w:noProof/>
          <w:sz w:val="20"/>
          <w:szCs w:val="20"/>
        </w:rPr>
        <w:drawing>
          <wp:inline distT="0" distB="0" distL="0" distR="0" wp14:anchorId="293145D7" wp14:editId="0C2E54F6">
            <wp:extent cx="4333766" cy="5440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richment_Results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155" cy="54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CBE5" w14:textId="5EE2D8C2" w:rsidR="00286621" w:rsidRPr="007C68DB" w:rsidRDefault="00F605D4" w:rsidP="00286621">
      <w:pPr>
        <w:rPr>
          <w:rFonts w:ascii="Helvetica" w:hAnsi="Helvetica" w:cs="Times New Roman"/>
          <w:sz w:val="20"/>
          <w:szCs w:val="20"/>
        </w:rPr>
      </w:pPr>
      <w:r w:rsidRPr="007C68DB">
        <w:rPr>
          <w:rFonts w:ascii="Helvetica" w:hAnsi="Helvetica" w:cs="Times New Roman"/>
          <w:b/>
          <w:sz w:val="20"/>
          <w:szCs w:val="20"/>
        </w:rPr>
        <w:t>Figure 1</w:t>
      </w:r>
      <w:r w:rsidRPr="007C68DB">
        <w:rPr>
          <w:rFonts w:ascii="Helvetica" w:hAnsi="Helvetica" w:cs="Times New Roman"/>
          <w:sz w:val="20"/>
          <w:szCs w:val="20"/>
        </w:rPr>
        <w:t xml:space="preserve">. Enrichment results for Tissue, Gene and Phenotype ontologies for </w:t>
      </w:r>
      <w:r w:rsidR="0056488B" w:rsidRPr="007C68DB">
        <w:rPr>
          <w:rFonts w:ascii="Helvetica" w:hAnsi="Helvetica" w:cs="Times New Roman"/>
          <w:sz w:val="20"/>
          <w:szCs w:val="20"/>
        </w:rPr>
        <w:t>genes overexpressed in a ciliary transcriptome</w:t>
      </w:r>
      <w:r w:rsidR="007C68DB" w:rsidRPr="007C68DB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  <w:vertAlign w:val="superscript"/>
        </w:rPr>
        <w:t>5</w:t>
      </w:r>
      <w:r w:rsidR="007C68DB" w:rsidRPr="007C68DB">
        <w:rPr>
          <w:rFonts w:ascii="Helvetica" w:hAnsi="Helvetica" w:cs="Times New Roman"/>
          <w:sz w:val="20"/>
          <w:szCs w:val="20"/>
        </w:rPr>
        <w:t>.</w:t>
      </w:r>
    </w:p>
    <w:p w14:paraId="05BFC6DF" w14:textId="70B80892" w:rsidR="00BA4DC9" w:rsidRPr="0069399D" w:rsidRDefault="00BA4DC9" w:rsidP="00BA4DC9">
      <w:pPr>
        <w:jc w:val="both"/>
        <w:rPr>
          <w:rFonts w:ascii="Helvetica" w:hAnsi="Helvetica" w:cs="Times New Roman"/>
          <w:b/>
          <w:sz w:val="20"/>
          <w:szCs w:val="20"/>
        </w:rPr>
      </w:pPr>
    </w:p>
    <w:p w14:paraId="28764DAB" w14:textId="36068E2C" w:rsidR="00BA4DC9" w:rsidRPr="0069399D" w:rsidRDefault="00BA4DC9" w:rsidP="0069399D">
      <w:pPr>
        <w:jc w:val="both"/>
        <w:rPr>
          <w:rFonts w:ascii="Helvetica" w:hAnsi="Helvetica" w:cs="Times New Roman"/>
          <w:b/>
          <w:sz w:val="20"/>
          <w:szCs w:val="20"/>
        </w:rPr>
      </w:pPr>
      <w:r w:rsidRPr="0069399D">
        <w:rPr>
          <w:rFonts w:ascii="Helvetica" w:hAnsi="Helvetica" w:cs="Times New Roman"/>
          <w:b/>
          <w:sz w:val="20"/>
          <w:szCs w:val="20"/>
        </w:rPr>
        <w:t>Description:</w:t>
      </w:r>
    </w:p>
    <w:p w14:paraId="3F0481EC" w14:textId="13D5042B" w:rsidR="00047A58" w:rsidRPr="0069399D" w:rsidRDefault="00966E54" w:rsidP="0069399D">
      <w:pPr>
        <w:jc w:val="both"/>
        <w:rPr>
          <w:rFonts w:ascii="Helvetica" w:eastAsia="Times New Roman" w:hAnsi="Helvetica" w:cs="Times New Roman"/>
          <w:sz w:val="20"/>
          <w:szCs w:val="20"/>
        </w:rPr>
      </w:pPr>
      <w:r w:rsidRPr="0069399D">
        <w:rPr>
          <w:rFonts w:ascii="Helvetica" w:eastAsia="Times New Roman" w:hAnsi="Helvetica" w:cs="Times New Roman"/>
          <w:sz w:val="20"/>
          <w:szCs w:val="20"/>
        </w:rPr>
        <w:t>Genome-wide experiments routinely generate large amounts of data</w:t>
      </w:r>
      <w:r w:rsidR="009B2E90" w:rsidRPr="0069399D">
        <w:rPr>
          <w:rFonts w:ascii="Helvetica" w:eastAsia="Times New Roman" w:hAnsi="Helvetica" w:cs="Times New Roman"/>
          <w:sz w:val="20"/>
          <w:szCs w:val="20"/>
        </w:rPr>
        <w:t xml:space="preserve"> that</w:t>
      </w:r>
      <w:r w:rsidRPr="0069399D">
        <w:rPr>
          <w:rFonts w:ascii="Helvetica" w:eastAsia="Times New Roman" w:hAnsi="Helvetica" w:cs="Times New Roman"/>
          <w:sz w:val="20"/>
          <w:szCs w:val="20"/>
        </w:rPr>
        <w:t xml:space="preserve"> can be hard to interpret biologically. A common approach to interpreting these results is to employ enrichment analyses of controlled languages, known as ontologies, that describe various biological parameters such as gene molecular or biological function. </w:t>
      </w:r>
      <w:r w:rsidR="00DE67C8">
        <w:rPr>
          <w:rFonts w:ascii="Helvetica" w:eastAsia="Times New Roman" w:hAnsi="Helvetica" w:cs="Times New Roman"/>
          <w:sz w:val="20"/>
          <w:szCs w:val="20"/>
        </w:rPr>
        <w:t xml:space="preserve">In </w:t>
      </w:r>
      <w:r w:rsidR="00DE67C8">
        <w:rPr>
          <w:rFonts w:ascii="Helvetica" w:eastAsia="Times New Roman" w:hAnsi="Helvetica" w:cs="Times New Roman"/>
          <w:i/>
          <w:sz w:val="20"/>
          <w:szCs w:val="20"/>
        </w:rPr>
        <w:t>C. elegans</w:t>
      </w:r>
      <w:r w:rsidR="00DE67C8">
        <w:rPr>
          <w:rFonts w:ascii="Helvetica" w:eastAsia="Times New Roman" w:hAnsi="Helvetica" w:cs="Times New Roman"/>
          <w:sz w:val="20"/>
          <w:szCs w:val="20"/>
        </w:rPr>
        <w:t xml:space="preserve">, three distinct ontologies, the Gene Ontology (GO), Anatomy Ontology (AO), and </w:t>
      </w:r>
      <w:r w:rsidR="0019681D">
        <w:rPr>
          <w:rFonts w:ascii="Helvetica" w:eastAsia="Times New Roman" w:hAnsi="Helvetica" w:cs="Times New Roman"/>
          <w:sz w:val="20"/>
          <w:szCs w:val="20"/>
        </w:rPr>
        <w:t xml:space="preserve">the Worm </w:t>
      </w:r>
      <w:r w:rsidR="00DE67C8">
        <w:rPr>
          <w:rFonts w:ascii="Helvetica" w:eastAsia="Times New Roman" w:hAnsi="Helvetica" w:cs="Times New Roman"/>
          <w:sz w:val="20"/>
          <w:szCs w:val="20"/>
        </w:rPr>
        <w:t>Phenotype Ontology (</w:t>
      </w:r>
      <w:r w:rsidR="0019681D">
        <w:rPr>
          <w:rFonts w:ascii="Helvetica" w:eastAsia="Times New Roman" w:hAnsi="Helvetica" w:cs="Times New Roman"/>
          <w:sz w:val="20"/>
          <w:szCs w:val="20"/>
        </w:rPr>
        <w:t>W</w:t>
      </w:r>
      <w:r w:rsidR="00DE67C8">
        <w:rPr>
          <w:rFonts w:ascii="Helvetica" w:eastAsia="Times New Roman" w:hAnsi="Helvetica" w:cs="Times New Roman"/>
          <w:sz w:val="20"/>
          <w:szCs w:val="20"/>
        </w:rPr>
        <w:t>PO) are used to annotate gene function, expression and phenotype, respectively</w:t>
      </w:r>
      <w:r w:rsidR="007C5BF0">
        <w:rPr>
          <w:rFonts w:ascii="Helvetica" w:eastAsia="Times New Roman" w:hAnsi="Helvetica" w:cs="Times New Roman"/>
          <w:sz w:val="20"/>
          <w:szCs w:val="20"/>
        </w:rPr>
        <w:t xml:space="preserve"> (Ashburner </w:t>
      </w:r>
      <w:r w:rsidR="007C5BF0">
        <w:rPr>
          <w:rFonts w:ascii="Helvetica" w:eastAsia="Times New Roman" w:hAnsi="Helvetica" w:cs="Times New Roman"/>
          <w:i/>
          <w:sz w:val="20"/>
          <w:szCs w:val="20"/>
        </w:rPr>
        <w:t>et al</w:t>
      </w:r>
      <w:r w:rsidR="007C5BF0">
        <w:rPr>
          <w:rFonts w:ascii="Helvetica" w:eastAsia="Times New Roman" w:hAnsi="Helvetica" w:cs="Times New Roman"/>
          <w:sz w:val="20"/>
          <w:szCs w:val="20"/>
        </w:rPr>
        <w:t xml:space="preserve">. 2000; Lee and Sternberg, 2003; Schindelman </w:t>
      </w:r>
      <w:r w:rsidR="007C5BF0">
        <w:rPr>
          <w:rFonts w:ascii="Helvetica" w:eastAsia="Times New Roman" w:hAnsi="Helvetica" w:cs="Times New Roman"/>
          <w:i/>
          <w:sz w:val="20"/>
          <w:szCs w:val="20"/>
        </w:rPr>
        <w:t>et al</w:t>
      </w:r>
      <w:r w:rsidR="007C5BF0">
        <w:rPr>
          <w:rFonts w:ascii="Helvetica" w:eastAsia="Times New Roman" w:hAnsi="Helvetica" w:cs="Times New Roman"/>
          <w:sz w:val="20"/>
          <w:szCs w:val="20"/>
        </w:rPr>
        <w:t>. 2011)</w:t>
      </w:r>
      <w:r w:rsidR="00E00E5B" w:rsidRPr="0069399D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="00047A58" w:rsidRPr="0069399D">
        <w:rPr>
          <w:rFonts w:ascii="Helvetica" w:eastAsia="Times New Roman" w:hAnsi="Helvetica" w:cs="Times New Roman"/>
          <w:sz w:val="20"/>
          <w:szCs w:val="20"/>
        </w:rPr>
        <w:lastRenderedPageBreak/>
        <w:t xml:space="preserve">Previously, we developed software to test datasets for enrichment of anatomical terms, called the Tissue Enrichment Analysis </w:t>
      </w:r>
      <w:r w:rsidR="00722B83">
        <w:rPr>
          <w:rFonts w:ascii="Helvetica" w:eastAsia="Times New Roman" w:hAnsi="Helvetica" w:cs="Times New Roman"/>
          <w:sz w:val="20"/>
          <w:szCs w:val="20"/>
        </w:rPr>
        <w:t xml:space="preserve">(TEA) </w:t>
      </w:r>
      <w:r w:rsidR="00047A58" w:rsidRPr="0069399D">
        <w:rPr>
          <w:rFonts w:ascii="Helvetica" w:eastAsia="Times New Roman" w:hAnsi="Helvetica" w:cs="Times New Roman"/>
          <w:sz w:val="20"/>
          <w:szCs w:val="20"/>
        </w:rPr>
        <w:t>tool</w:t>
      </w:r>
      <w:r w:rsidR="007C5BF0">
        <w:rPr>
          <w:rFonts w:ascii="Helvetica" w:eastAsia="Times New Roman" w:hAnsi="Helvetica" w:cs="Times New Roman"/>
          <w:sz w:val="20"/>
          <w:szCs w:val="20"/>
        </w:rPr>
        <w:t xml:space="preserve"> (Angeles-Albores and Sternberg, 2016)</w:t>
      </w:r>
      <w:r w:rsidR="00047A58" w:rsidRPr="0069399D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="00553C36">
        <w:rPr>
          <w:rFonts w:ascii="Helvetica" w:eastAsia="Times New Roman" w:hAnsi="Helvetica" w:cs="Times New Roman"/>
          <w:sz w:val="20"/>
          <w:szCs w:val="20"/>
        </w:rPr>
        <w:t xml:space="preserve">Using the same hypergeometric statistical method, we extend enrichment testing to include </w:t>
      </w:r>
      <w:r w:rsidR="0019681D">
        <w:rPr>
          <w:rFonts w:ascii="Helvetica" w:eastAsia="Times New Roman" w:hAnsi="Helvetica" w:cs="Times New Roman"/>
          <w:sz w:val="20"/>
          <w:szCs w:val="20"/>
        </w:rPr>
        <w:t>W</w:t>
      </w:r>
      <w:r w:rsidR="00553C36">
        <w:rPr>
          <w:rFonts w:ascii="Helvetica" w:eastAsia="Times New Roman" w:hAnsi="Helvetica" w:cs="Times New Roman"/>
          <w:sz w:val="20"/>
          <w:szCs w:val="20"/>
        </w:rPr>
        <w:t xml:space="preserve">PO and GO, offering a unified approach to enrichment testing in </w:t>
      </w:r>
      <w:r w:rsidR="00553C36">
        <w:rPr>
          <w:rFonts w:ascii="Helvetica" w:eastAsia="Times New Roman" w:hAnsi="Helvetica" w:cs="Times New Roman"/>
          <w:i/>
          <w:sz w:val="20"/>
          <w:szCs w:val="20"/>
        </w:rPr>
        <w:t>C. elegans</w:t>
      </w:r>
      <w:r w:rsidR="00553C36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="00556A3E" w:rsidRPr="0069399D">
        <w:rPr>
          <w:rFonts w:ascii="Helvetica" w:eastAsia="Times New Roman" w:hAnsi="Helvetica" w:cs="Times New Roman"/>
          <w:sz w:val="20"/>
          <w:szCs w:val="20"/>
        </w:rPr>
        <w:t xml:space="preserve">The WormBase Enrichment Suite can be accessed via a user-friendly </w:t>
      </w:r>
      <w:r w:rsidR="006B14DE" w:rsidRPr="0069399D">
        <w:rPr>
          <w:rFonts w:ascii="Helvetica" w:eastAsia="Times New Roman" w:hAnsi="Helvetica" w:cs="Times New Roman"/>
          <w:sz w:val="20"/>
          <w:szCs w:val="20"/>
        </w:rPr>
        <w:t xml:space="preserve">interface at </w:t>
      </w:r>
      <w:hyperlink r:id="rId9" w:history="1">
        <w:r w:rsidR="006B14DE" w:rsidRPr="0069399D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http://www.wormbase.org/tools/enrichment/tea/tea.cgi</w:t>
        </w:r>
      </w:hyperlink>
      <w:r w:rsidR="006B14DE" w:rsidRPr="0069399D">
        <w:rPr>
          <w:rFonts w:ascii="Helvetica" w:eastAsia="Times New Roman" w:hAnsi="Helvetica" w:cs="Times New Roman"/>
          <w:sz w:val="20"/>
          <w:szCs w:val="20"/>
        </w:rPr>
        <w:t>.</w:t>
      </w:r>
    </w:p>
    <w:p w14:paraId="47CC0FD4" w14:textId="7A8823FC" w:rsidR="006B14DE" w:rsidRPr="0069399D" w:rsidRDefault="006B14DE" w:rsidP="0069399D">
      <w:pPr>
        <w:jc w:val="both"/>
        <w:rPr>
          <w:rFonts w:ascii="Helvetica" w:eastAsia="Times New Roman" w:hAnsi="Helvetica" w:cs="Times New Roman"/>
          <w:sz w:val="20"/>
          <w:szCs w:val="20"/>
        </w:rPr>
      </w:pPr>
    </w:p>
    <w:p w14:paraId="4712E13C" w14:textId="3593415A" w:rsidR="00553C36" w:rsidRPr="00F41ED7" w:rsidRDefault="00553C36" w:rsidP="00D26D81">
      <w:pPr>
        <w:rPr>
          <w:rFonts w:ascii="Times New Roman" w:eastAsia="Times New Roman" w:hAnsi="Times New Roman" w:cs="Times New Roman"/>
        </w:rPr>
      </w:pPr>
      <w:r w:rsidRPr="00D26D81">
        <w:rPr>
          <w:rFonts w:ascii="Helvetica" w:eastAsia="Times New Roman" w:hAnsi="Helvetica" w:cs="Times New Roman"/>
          <w:sz w:val="20"/>
          <w:szCs w:val="20"/>
        </w:rPr>
        <w:t xml:space="preserve">To validate the tools, we </w:t>
      </w:r>
      <w:r w:rsidR="00D26D81" w:rsidRPr="00D26D81">
        <w:rPr>
          <w:rFonts w:ascii="Helvetica" w:eastAsia="Times New Roman" w:hAnsi="Helvetica" w:cs="Times New Roman"/>
          <w:sz w:val="20"/>
          <w:szCs w:val="20"/>
        </w:rPr>
        <w:t>analyzed a</w:t>
      </w:r>
      <w:r w:rsidRPr="00D26D81">
        <w:rPr>
          <w:rFonts w:ascii="Helvetica" w:eastAsia="Times New Roman" w:hAnsi="Helvetica" w:cs="Times New Roman"/>
          <w:sz w:val="20"/>
          <w:szCs w:val="20"/>
        </w:rPr>
        <w:t xml:space="preserve"> previously published e</w:t>
      </w:r>
      <w:r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xtracellular vesicle (EV)-releas</w:t>
      </w:r>
      <w:r w:rsidR="0019681D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ing neuron (EVN) signature gene set</w:t>
      </w:r>
      <w:r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derived from dissociated ciliated EV neuron</w:t>
      </w:r>
      <w:r w:rsidR="007C5BF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s (Wang </w:t>
      </w:r>
      <w:r w:rsidR="007C5BF0">
        <w:rPr>
          <w:rFonts w:ascii="Helvetica" w:eastAsia="Times New Roman" w:hAnsi="Helvetica" w:cs="Times New Roman"/>
          <w:i/>
          <w:sz w:val="20"/>
          <w:szCs w:val="20"/>
          <w:shd w:val="clear" w:color="auto" w:fill="FFFFFF"/>
        </w:rPr>
        <w:t>et al</w:t>
      </w:r>
      <w:r w:rsidR="007C5BF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. 2015)</w:t>
      </w:r>
      <w:r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r w:rsidR="00D26D81"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using </w:t>
      </w:r>
      <w:r w:rsidR="00D26D81" w:rsidRP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WormBase Enrichment S</w:t>
      </w:r>
      <w:r w:rsidRP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uite </w:t>
      </w:r>
      <w:r w:rsidR="00D26D81" w:rsidRPr="00F41ED7">
        <w:rPr>
          <w:rFonts w:ascii="Helvetica" w:eastAsia="Times New Roman" w:hAnsi="Helvetica" w:cs="Arial"/>
          <w:sz w:val="20"/>
          <w:szCs w:val="20"/>
          <w:shd w:val="clear" w:color="auto" w:fill="FFFFFF"/>
        </w:rPr>
        <w:t>based on the WS262 WormBase release</w:t>
      </w:r>
      <w:r w:rsidRP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. TEA correctly identified the </w:t>
      </w:r>
      <w:r w:rsidR="00F41ED7" w:rsidRPr="00F41ED7">
        <w:rPr>
          <w:rFonts w:ascii="Helvetica" w:eastAsia="Times New Roman" w:hAnsi="Helvetica" w:cs="Arial"/>
          <w:sz w:val="20"/>
          <w:szCs w:val="20"/>
          <w:shd w:val="clear" w:color="auto" w:fill="FFFFFF"/>
        </w:rPr>
        <w:t>CEM, hook sensillum and IL2 neuron</w:t>
      </w:r>
      <w:r w:rsidR="00F41ED7" w:rsidRPr="00F41ED7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as enriched tissues. The top phenotype associated with the EVN signature was chemosensory</w:t>
      </w:r>
      <w:r w:rsid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behavior. Gene O</w:t>
      </w:r>
      <w:r w:rsidRP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ntology enrichment analysis showed that cell projection </w:t>
      </w:r>
      <w:r w:rsidR="00C14F87" w:rsidRP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and cell body were</w:t>
      </w:r>
      <w:r w:rsidRP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the most </w:t>
      </w:r>
      <w:r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enriched cellular component</w:t>
      </w:r>
      <w:r w:rsidR="00C14F87"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s</w:t>
      </w:r>
      <w:r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in this gene set, followed by the biological processes neuropeptide signaling pathwa</w:t>
      </w:r>
      <w:r w:rsidR="00C14F87"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y</w:t>
      </w:r>
      <w:r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and vesicle localization</w:t>
      </w:r>
      <w:r w:rsidR="00F41ED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further down</w:t>
      </w:r>
      <w:r w:rsidRPr="00D26D8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. The tutorial script used to generate the figure above can be viewed at: </w:t>
      </w:r>
    </w:p>
    <w:p w14:paraId="76255967" w14:textId="3067E874" w:rsidR="0069399D" w:rsidRPr="0069399D" w:rsidRDefault="001905FE" w:rsidP="0069399D">
      <w:pPr>
        <w:jc w:val="both"/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hyperlink r:id="rId10" w:history="1">
        <w:r w:rsidR="0069399D" w:rsidRPr="00E365E0">
          <w:rPr>
            <w:rStyle w:val="Hyperlink"/>
            <w:rFonts w:ascii="Helvetica" w:eastAsia="Times New Roman" w:hAnsi="Helvetica" w:cs="Times New Roman"/>
            <w:sz w:val="20"/>
            <w:szCs w:val="20"/>
            <w:shd w:val="clear" w:color="auto" w:fill="FFFFFF"/>
          </w:rPr>
          <w:t>https://github.com/dangeles/TissueEnrichmentAnalysis/blob/master/tutorial/Tutorial.ipynb</w:t>
        </w:r>
      </w:hyperlink>
    </w:p>
    <w:p w14:paraId="45FE465F" w14:textId="46DE8B9E" w:rsidR="009823CA" w:rsidRPr="0069399D" w:rsidRDefault="009823CA" w:rsidP="0069399D">
      <w:pPr>
        <w:jc w:val="both"/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1E048507" w14:textId="49A056B2" w:rsidR="009823CA" w:rsidRPr="0069399D" w:rsidRDefault="009823CA" w:rsidP="0069399D">
      <w:pPr>
        <w:autoSpaceDE w:val="0"/>
        <w:autoSpaceDN w:val="0"/>
        <w:adjustRightInd w:val="0"/>
        <w:spacing w:after="240"/>
        <w:jc w:val="both"/>
        <w:rPr>
          <w:rFonts w:ascii="Helvetica" w:eastAsiaTheme="minorHAnsi" w:hAnsi="Helvetica" w:cs="Times New Roman"/>
          <w:color w:val="000000"/>
          <w:sz w:val="20"/>
          <w:szCs w:val="20"/>
        </w:rPr>
      </w:pPr>
      <w:r w:rsidRPr="0069399D">
        <w:rPr>
          <w:rFonts w:ascii="Helvetica" w:eastAsiaTheme="minorHAnsi" w:hAnsi="Helvetica" w:cs="Times New Roman"/>
          <w:color w:val="000000"/>
          <w:sz w:val="20"/>
          <w:szCs w:val="20"/>
        </w:rPr>
        <w:t xml:space="preserve">The addition of </w:t>
      </w:r>
      <w:r w:rsidR="00722B83">
        <w:rPr>
          <w:rFonts w:ascii="Helvetica" w:eastAsiaTheme="minorHAnsi" w:hAnsi="Helvetica" w:cs="Times New Roman"/>
          <w:color w:val="000000"/>
          <w:sz w:val="20"/>
          <w:szCs w:val="20"/>
        </w:rPr>
        <w:t>Gene Enrichment Analysis (GEA) and Phenotype Enrichment Analysis (PEA)</w:t>
      </w:r>
      <w:r w:rsidRPr="0069399D">
        <w:rPr>
          <w:rFonts w:ascii="Helvetica" w:eastAsiaTheme="minorHAnsi" w:hAnsi="Helvetica" w:cs="Times New Roman"/>
          <w:color w:val="000000"/>
          <w:sz w:val="20"/>
          <w:szCs w:val="20"/>
        </w:rPr>
        <w:t xml:space="preserve"> to WormBase marks an important step towards a unified set of analyses that can help researchers to und</w:t>
      </w:r>
      <w:r w:rsidR="0069399D">
        <w:rPr>
          <w:rFonts w:ascii="Helvetica" w:eastAsiaTheme="minorHAnsi" w:hAnsi="Helvetica" w:cs="Times New Roman"/>
          <w:color w:val="000000"/>
          <w:sz w:val="20"/>
          <w:szCs w:val="20"/>
        </w:rPr>
        <w:t xml:space="preserve">erstand genomic datasets. These </w:t>
      </w:r>
      <w:r w:rsidRPr="0069399D">
        <w:rPr>
          <w:rFonts w:ascii="Helvetica" w:eastAsiaTheme="minorHAnsi" w:hAnsi="Helvetica" w:cs="Times New Roman"/>
          <w:color w:val="000000"/>
          <w:sz w:val="20"/>
          <w:szCs w:val="20"/>
        </w:rPr>
        <w:t xml:space="preserve">enrichment analyses will allow the community to fully benefit from the data curation ongoing at WormBase. </w:t>
      </w:r>
    </w:p>
    <w:p w14:paraId="7CA46293" w14:textId="65D0C31A" w:rsidR="0069399D" w:rsidRPr="0069399D" w:rsidRDefault="0069399D" w:rsidP="0069399D">
      <w:pPr>
        <w:jc w:val="both"/>
        <w:rPr>
          <w:rFonts w:ascii="Helvetica" w:hAnsi="Helvetica" w:cs="Times New Roman"/>
          <w:b/>
          <w:sz w:val="20"/>
          <w:szCs w:val="20"/>
        </w:rPr>
      </w:pPr>
      <w:r>
        <w:rPr>
          <w:rFonts w:ascii="Helvetica" w:hAnsi="Helvetica" w:cs="Times New Roman"/>
          <w:b/>
          <w:sz w:val="20"/>
          <w:szCs w:val="20"/>
        </w:rPr>
        <w:t>Method</w:t>
      </w:r>
      <w:r w:rsidRPr="0069399D">
        <w:rPr>
          <w:rFonts w:ascii="Helvetica" w:hAnsi="Helvetica" w:cs="Times New Roman"/>
          <w:b/>
          <w:sz w:val="20"/>
          <w:szCs w:val="20"/>
        </w:rPr>
        <w:t>:</w:t>
      </w:r>
    </w:p>
    <w:p w14:paraId="0E7D5945" w14:textId="7609EEEA" w:rsidR="00553C36" w:rsidRDefault="00553C36" w:rsidP="00553C36">
      <w:pPr>
        <w:spacing w:after="240"/>
        <w:jc w:val="both"/>
      </w:pPr>
      <w:r>
        <w:rPr>
          <w:rFonts w:ascii="Helvetica" w:eastAsiaTheme="minorHAnsi" w:hAnsi="Helvetica" w:cs="Times New Roman"/>
          <w:color w:val="000000"/>
          <w:sz w:val="20"/>
          <w:szCs w:val="20"/>
        </w:rPr>
        <w:t xml:space="preserve">Using the methods described in Angeles-Albores </w:t>
      </w:r>
      <w:r>
        <w:rPr>
          <w:rFonts w:ascii="Helvetica" w:eastAsiaTheme="minorHAnsi" w:hAnsi="Helvetica" w:cs="Times New Roman"/>
          <w:i/>
          <w:color w:val="000000"/>
          <w:sz w:val="20"/>
          <w:szCs w:val="20"/>
        </w:rPr>
        <w:t>et a</w:t>
      </w:r>
      <w:r w:rsidR="003B78CC">
        <w:rPr>
          <w:rFonts w:ascii="Helvetica" w:eastAsiaTheme="minorHAnsi" w:hAnsi="Helvetica" w:cs="Times New Roman"/>
          <w:i/>
          <w:color w:val="000000"/>
          <w:sz w:val="20"/>
          <w:szCs w:val="20"/>
        </w:rPr>
        <w:t>l</w:t>
      </w:r>
      <w:r>
        <w:rPr>
          <w:rFonts w:ascii="Helvetica" w:eastAsiaTheme="minorHAnsi" w:hAnsi="Helvetica" w:cs="Times New Roman"/>
          <w:color w:val="000000"/>
          <w:sz w:val="20"/>
          <w:szCs w:val="20"/>
        </w:rPr>
        <w:t xml:space="preserve">, we generated ontology dictionaries using the Anatomy, Phenotype and Gene Ontology annotations for </w:t>
      </w:r>
      <w:r>
        <w:rPr>
          <w:rFonts w:ascii="Helvetica" w:eastAsiaTheme="minorHAnsi" w:hAnsi="Helvetica" w:cs="Times New Roman"/>
          <w:i/>
          <w:color w:val="000000"/>
          <w:sz w:val="20"/>
          <w:szCs w:val="20"/>
        </w:rPr>
        <w:t>C. elegans</w:t>
      </w:r>
      <w:r>
        <w:rPr>
          <w:rFonts w:ascii="Helvetica" w:eastAsiaTheme="minorHAnsi" w:hAnsi="Helvetica" w:cs="Times New Roman"/>
          <w:color w:val="000000"/>
          <w:sz w:val="20"/>
          <w:szCs w:val="20"/>
        </w:rPr>
        <w:t xml:space="preserve">. The dictionary </w:t>
      </w:r>
      <w:r w:rsidR="005D57A2">
        <w:rPr>
          <w:rFonts w:ascii="Helvetica" w:eastAsiaTheme="minorHAnsi" w:hAnsi="Helvetica" w:cs="Times New Roman"/>
          <w:color w:val="000000"/>
          <w:sz w:val="20"/>
          <w:szCs w:val="20"/>
        </w:rPr>
        <w:t>similarity parameter</w:t>
      </w:r>
      <w:r>
        <w:rPr>
          <w:rFonts w:ascii="Helvetica" w:eastAsiaTheme="minorHAnsi" w:hAnsi="Helvetica" w:cs="Times New Roman"/>
          <w:color w:val="000000"/>
          <w:sz w:val="20"/>
          <w:szCs w:val="20"/>
        </w:rPr>
        <w:t xml:space="preserve"> </w:t>
      </w:r>
      <w:r w:rsidR="005D57A2">
        <w:rPr>
          <w:rFonts w:ascii="Helvetica" w:eastAsiaTheme="minorHAnsi" w:hAnsi="Helvetica" w:cs="Times New Roman"/>
          <w:color w:val="000000"/>
          <w:sz w:val="20"/>
          <w:szCs w:val="20"/>
        </w:rPr>
        <w:t xml:space="preserve">was set to </w:t>
      </w:r>
      <w:r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95%</w:t>
      </w:r>
      <w:r>
        <w:rPr>
          <w:rFonts w:ascii="Helvetica" w:eastAsiaTheme="minorHAnsi" w:hAnsi="Helvetica" w:cs="Times New Roman"/>
          <w:color w:val="000000"/>
          <w:sz w:val="20"/>
          <w:szCs w:val="20"/>
        </w:rPr>
        <w:t xml:space="preserve"> for all ontologies. The annotation per term minimum was set to 33 annotations for the AO, a 50 annotations for the </w:t>
      </w:r>
      <w:r w:rsidR="006545EF">
        <w:rPr>
          <w:rFonts w:ascii="Helvetica" w:eastAsiaTheme="minorHAnsi" w:hAnsi="Helvetica" w:cs="Times New Roman"/>
          <w:color w:val="000000"/>
          <w:sz w:val="20"/>
          <w:szCs w:val="20"/>
        </w:rPr>
        <w:t>W</w:t>
      </w:r>
      <w:r>
        <w:rPr>
          <w:rFonts w:ascii="Helvetica" w:eastAsiaTheme="minorHAnsi" w:hAnsi="Helvetica" w:cs="Times New Roman"/>
          <w:color w:val="000000"/>
          <w:sz w:val="20"/>
          <w:szCs w:val="20"/>
        </w:rPr>
        <w:t xml:space="preserve">PO, and 33 annotations for GO. Terms within the dictionary are tested using a hypergeometric probability test and corrected using the Benjamini-Hochberg step-up algorithm. In WS262, there are </w:t>
      </w:r>
      <w:r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1320 anatomy terms, 1117 phenotypes, and 3025 GO terms that have at least 11 genes annotated to them.</w:t>
      </w:r>
      <w:r w:rsidR="006545EF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The dictionaries are freely accessible using the Python version of the Suite, which can be installed using the pip tool for Python libraries: ``pip install tissue_enrichment_analysis``. 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The dictionary can then be automatically downloaded 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by importing the enrichment analysis library in a Python script by writing ``import tissue_enrichment_analysis as ea``. The dictionaries can then be downloaded by  typing 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``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ea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.fetch_dictionary(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dict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)``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into Python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,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where `dict ` is the string 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`tissue`, `phenotype` or `go` to specify which dictionary to download. If the fun</w:t>
      </w:r>
      <w:bookmarkStart w:id="0" w:name="_GoBack"/>
      <w:bookmarkEnd w:id="0"/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ction does not receive an argument, the dictionary 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corresponding to the AO 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is downloaded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by default</w:t>
      </w:r>
      <w:r w:rsidR="00943F68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. </w:t>
      </w:r>
      <w:r w:rsidR="00B008E5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See the tutorial above for an example implementation.</w:t>
      </w:r>
    </w:p>
    <w:p w14:paraId="53D970EF" w14:textId="36531B61" w:rsidR="006B14DE" w:rsidRPr="0069399D" w:rsidRDefault="006B14DE" w:rsidP="00423198">
      <w:pPr>
        <w:jc w:val="both"/>
        <w:rPr>
          <w:rFonts w:ascii="Helvetica" w:eastAsia="Times New Roman" w:hAnsi="Helvetica" w:cs="Times New Roman"/>
          <w:sz w:val="20"/>
          <w:szCs w:val="20"/>
        </w:rPr>
      </w:pPr>
    </w:p>
    <w:p w14:paraId="165F9027" w14:textId="77777777" w:rsidR="006B14DE" w:rsidRPr="0069399D" w:rsidRDefault="006B14DE" w:rsidP="00423198">
      <w:pPr>
        <w:jc w:val="both"/>
        <w:rPr>
          <w:rFonts w:ascii="Helvetica" w:eastAsia="Times New Roman" w:hAnsi="Helvetica" w:cs="Times New Roman"/>
          <w:sz w:val="20"/>
          <w:szCs w:val="20"/>
        </w:rPr>
      </w:pPr>
    </w:p>
    <w:p w14:paraId="2C998891" w14:textId="6BEEBDDC" w:rsidR="00936F29" w:rsidRPr="00611C8E" w:rsidRDefault="00936F29" w:rsidP="00423198">
      <w:pPr>
        <w:jc w:val="both"/>
        <w:rPr>
          <w:rFonts w:ascii="Helvetica" w:hAnsi="Helvetica" w:cs="Times New Roman"/>
          <w:b/>
          <w:sz w:val="20"/>
          <w:szCs w:val="20"/>
        </w:rPr>
      </w:pPr>
      <w:r w:rsidRPr="00611C8E">
        <w:rPr>
          <w:rFonts w:ascii="Helvetica" w:hAnsi="Helvetica" w:cs="Times New Roman"/>
          <w:b/>
          <w:sz w:val="20"/>
          <w:szCs w:val="20"/>
        </w:rPr>
        <w:t>References</w:t>
      </w:r>
    </w:p>
    <w:p w14:paraId="70387C65" w14:textId="4433DDCF" w:rsidR="007C5BF0" w:rsidRPr="007C5BF0" w:rsidRDefault="00D130A2" w:rsidP="00D130A2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0"/>
          <w:szCs w:val="20"/>
        </w:rPr>
      </w:pPr>
      <w:r w:rsidRPr="007C5BF0">
        <w:rPr>
          <w:rFonts w:ascii="Helvetica" w:eastAsia="Times New Roman" w:hAnsi="Helvetica" w:cs="Times New Roman"/>
          <w:sz w:val="20"/>
          <w:szCs w:val="20"/>
        </w:rPr>
        <w:t xml:space="preserve">Ashburner M, Ball CA, Blake JA, Botstein D, Butler H, Cherry JM, Davis AP, Dolinski K, Dwight SS, Eppig JT, Harris MA, Hill DP, Issel-Tarver L, Kasarskis A, Lewis S, Matese JC, Richardson JE, Ringwald M, Rubin GM, Sherlock G, Consortium GO: </w:t>
      </w:r>
      <w:r w:rsidRPr="007C5BF0">
        <w:rPr>
          <w:rFonts w:ascii="Helvetica" w:eastAsia="Times New Roman" w:hAnsi="Helvetica" w:cs="Times New Roman"/>
          <w:bCs/>
          <w:sz w:val="20"/>
          <w:szCs w:val="20"/>
        </w:rPr>
        <w:t>Gene Ontology: tool for the unification of biology</w:t>
      </w:r>
      <w:r w:rsidRPr="007C5BF0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Pr="007C5BF0">
        <w:rPr>
          <w:rFonts w:ascii="Helvetica" w:eastAsia="Times New Roman" w:hAnsi="Helvetica" w:cs="Times New Roman"/>
          <w:i/>
          <w:iCs/>
          <w:sz w:val="20"/>
          <w:szCs w:val="20"/>
        </w:rPr>
        <w:t>Nat Genet</w:t>
      </w:r>
      <w:r w:rsidRPr="007C5BF0">
        <w:rPr>
          <w:rFonts w:ascii="Helvetica" w:eastAsia="Times New Roman" w:hAnsi="Helvetica" w:cs="Times New Roman"/>
          <w:sz w:val="20"/>
          <w:szCs w:val="20"/>
        </w:rPr>
        <w:t xml:space="preserve"> 2000 </w:t>
      </w:r>
      <w:r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>May;</w:t>
      </w:r>
      <w:r w:rsidR="007C5BF0"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 xml:space="preserve"> </w:t>
      </w:r>
      <w:r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>25(1)</w:t>
      </w:r>
      <w:r w:rsidRPr="007C5BF0">
        <w:rPr>
          <w:rFonts w:ascii="Helvetica" w:eastAsia="Times New Roman" w:hAnsi="Helvetica" w:cs="Times New Roman"/>
          <w:sz w:val="20"/>
          <w:szCs w:val="20"/>
        </w:rPr>
        <w:t xml:space="preserve">: 25–29 PubMed PMID </w:t>
      </w:r>
      <w:r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>10802651</w:t>
      </w:r>
    </w:p>
    <w:p w14:paraId="39809C35" w14:textId="77777777" w:rsidR="007C5BF0" w:rsidRPr="007C5BF0" w:rsidRDefault="007C5BF0" w:rsidP="007C5BF0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0"/>
          <w:szCs w:val="20"/>
        </w:rPr>
      </w:pPr>
      <w:r w:rsidRPr="007C5BF0">
        <w:rPr>
          <w:rFonts w:ascii="Helvetica" w:eastAsia="Times New Roman" w:hAnsi="Helvetica" w:cs="Times New Roman"/>
          <w:sz w:val="20"/>
          <w:szCs w:val="20"/>
        </w:rPr>
        <w:t xml:space="preserve">Lee RYN, Sternberg PW: </w:t>
      </w:r>
      <w:r w:rsidRPr="007C5BF0">
        <w:rPr>
          <w:rFonts w:ascii="Helvetica" w:eastAsia="Times New Roman" w:hAnsi="Helvetica" w:cs="Times New Roman"/>
          <w:bCs/>
          <w:sz w:val="20"/>
          <w:szCs w:val="20"/>
        </w:rPr>
        <w:t xml:space="preserve">Building a cell and anatomy ontology of </w:t>
      </w:r>
      <w:r w:rsidRPr="007C5BF0">
        <w:rPr>
          <w:rFonts w:ascii="Helvetica" w:eastAsia="Times New Roman" w:hAnsi="Helvetica" w:cs="Times New Roman"/>
          <w:bCs/>
          <w:i/>
          <w:sz w:val="20"/>
          <w:szCs w:val="20"/>
        </w:rPr>
        <w:t>Caenorhabditis elegans</w:t>
      </w:r>
      <w:r w:rsidRPr="007C5BF0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Pr="007C5BF0">
        <w:rPr>
          <w:rFonts w:ascii="Helvetica" w:eastAsia="Times New Roman" w:hAnsi="Helvetica" w:cs="Times New Roman"/>
          <w:i/>
          <w:iCs/>
          <w:sz w:val="20"/>
          <w:szCs w:val="20"/>
        </w:rPr>
        <w:t>Comparative and Functional Genomics</w:t>
      </w:r>
      <w:r w:rsidRPr="007C5BF0">
        <w:rPr>
          <w:rFonts w:ascii="Helvetica" w:eastAsia="Times New Roman" w:hAnsi="Helvetica" w:cs="Times New Roman"/>
          <w:sz w:val="20"/>
          <w:szCs w:val="20"/>
        </w:rPr>
        <w:t xml:space="preserve"> 2003 Feb;4(1):121–126 PubMed PMID </w:t>
      </w:r>
      <w:r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>18629098</w:t>
      </w:r>
    </w:p>
    <w:p w14:paraId="0C53AE04" w14:textId="0A7D5B3A" w:rsidR="007C5BF0" w:rsidRPr="007C5BF0" w:rsidRDefault="00F53C0E" w:rsidP="007C5BF0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0"/>
          <w:szCs w:val="20"/>
        </w:rPr>
      </w:pPr>
      <w:r w:rsidRPr="007C5BF0">
        <w:rPr>
          <w:rFonts w:ascii="Helvetica" w:hAnsi="Helvetica"/>
          <w:sz w:val="20"/>
          <w:szCs w:val="20"/>
        </w:rPr>
        <w:t xml:space="preserve">Schindelman G, Fernandes JS, Bastiani CA, Yook K, Sternberg PW: </w:t>
      </w:r>
      <w:r w:rsidRPr="007C5BF0">
        <w:rPr>
          <w:rFonts w:ascii="Helvetica" w:hAnsi="Helvetica"/>
          <w:bCs/>
          <w:sz w:val="20"/>
          <w:szCs w:val="20"/>
        </w:rPr>
        <w:t xml:space="preserve">Worm Phenotype Ontology: integrating phenotype data within and beyond the </w:t>
      </w:r>
      <w:r w:rsidRPr="007C5BF0">
        <w:rPr>
          <w:rFonts w:ascii="Helvetica" w:hAnsi="Helvetica"/>
          <w:bCs/>
          <w:i/>
          <w:sz w:val="20"/>
          <w:szCs w:val="20"/>
        </w:rPr>
        <w:t>C. elegans</w:t>
      </w:r>
      <w:r w:rsidRPr="007C5BF0">
        <w:rPr>
          <w:rFonts w:ascii="Helvetica" w:hAnsi="Helvetica"/>
          <w:bCs/>
          <w:sz w:val="20"/>
          <w:szCs w:val="20"/>
        </w:rPr>
        <w:t xml:space="preserve"> community.</w:t>
      </w:r>
      <w:r w:rsidRPr="007C5BF0">
        <w:rPr>
          <w:rFonts w:ascii="Helvetica" w:hAnsi="Helvetica"/>
          <w:sz w:val="20"/>
          <w:szCs w:val="20"/>
        </w:rPr>
        <w:t xml:space="preserve"> </w:t>
      </w:r>
      <w:r w:rsidRPr="007C5BF0">
        <w:rPr>
          <w:rFonts w:ascii="Helvetica" w:hAnsi="Helvetica"/>
          <w:i/>
          <w:iCs/>
          <w:sz w:val="20"/>
          <w:szCs w:val="20"/>
        </w:rPr>
        <w:t>BMC Bioinformatics</w:t>
      </w:r>
      <w:r w:rsidR="00D130A2" w:rsidRPr="007C5BF0">
        <w:rPr>
          <w:rFonts w:ascii="Helvetica" w:hAnsi="Helvetica"/>
          <w:sz w:val="20"/>
          <w:szCs w:val="20"/>
        </w:rPr>
        <w:t xml:space="preserve"> 2011 Jan</w:t>
      </w:r>
      <w:r w:rsidR="007C5BF0" w:rsidRPr="007C5BF0">
        <w:rPr>
          <w:rFonts w:ascii="Helvetica" w:hAnsi="Helvetica"/>
          <w:sz w:val="20"/>
          <w:szCs w:val="20"/>
        </w:rPr>
        <w:t xml:space="preserve">; 24; </w:t>
      </w:r>
      <w:r w:rsidRPr="007C5BF0">
        <w:rPr>
          <w:rFonts w:ascii="Helvetica" w:hAnsi="Helvetica"/>
          <w:bCs/>
          <w:sz w:val="20"/>
          <w:szCs w:val="20"/>
        </w:rPr>
        <w:t>12</w:t>
      </w:r>
      <w:r w:rsidR="007C5BF0" w:rsidRPr="007C5BF0">
        <w:rPr>
          <w:rFonts w:ascii="Helvetica" w:hAnsi="Helvetica"/>
          <w:sz w:val="20"/>
          <w:szCs w:val="20"/>
        </w:rPr>
        <w:t xml:space="preserve">: </w:t>
      </w:r>
      <w:r w:rsidR="00D130A2" w:rsidRPr="007C5BF0">
        <w:rPr>
          <w:rFonts w:ascii="Helvetica" w:hAnsi="Helvetica"/>
          <w:sz w:val="20"/>
          <w:szCs w:val="20"/>
        </w:rPr>
        <w:t xml:space="preserve">32 PubMed PMID </w:t>
      </w:r>
      <w:r w:rsidR="00D130A2"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>21261995</w:t>
      </w:r>
    </w:p>
    <w:p w14:paraId="50114662" w14:textId="77777777" w:rsidR="007C5BF0" w:rsidRPr="007C5BF0" w:rsidRDefault="00F53C0E" w:rsidP="007C5BF0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0"/>
          <w:szCs w:val="20"/>
        </w:rPr>
      </w:pPr>
      <w:r w:rsidRPr="007C5BF0">
        <w:rPr>
          <w:rFonts w:ascii="Helvetica" w:hAnsi="Helvetica"/>
          <w:sz w:val="20"/>
          <w:szCs w:val="20"/>
        </w:rPr>
        <w:t xml:space="preserve">Angeles-Albores D, N. Lee RY, Chan J, Sternberg PW: </w:t>
      </w:r>
      <w:r w:rsidRPr="007C5BF0">
        <w:rPr>
          <w:rFonts w:ascii="Helvetica" w:hAnsi="Helvetica"/>
          <w:bCs/>
          <w:sz w:val="20"/>
          <w:szCs w:val="20"/>
        </w:rPr>
        <w:t xml:space="preserve">Tissue enrichment analysis for </w:t>
      </w:r>
      <w:r w:rsidRPr="007C5BF0">
        <w:rPr>
          <w:rFonts w:ascii="Helvetica" w:hAnsi="Helvetica"/>
          <w:bCs/>
          <w:i/>
          <w:sz w:val="20"/>
          <w:szCs w:val="20"/>
        </w:rPr>
        <w:t>C. elegans</w:t>
      </w:r>
      <w:r w:rsidRPr="007C5BF0">
        <w:rPr>
          <w:rFonts w:ascii="Helvetica" w:hAnsi="Helvetica"/>
          <w:bCs/>
          <w:sz w:val="20"/>
          <w:szCs w:val="20"/>
        </w:rPr>
        <w:t xml:space="preserve"> genomics</w:t>
      </w:r>
      <w:r w:rsidRPr="007C5BF0">
        <w:rPr>
          <w:rFonts w:ascii="Helvetica" w:hAnsi="Helvetica"/>
          <w:sz w:val="20"/>
          <w:szCs w:val="20"/>
        </w:rPr>
        <w:t xml:space="preserve">. </w:t>
      </w:r>
      <w:r w:rsidRPr="007C5BF0">
        <w:rPr>
          <w:rFonts w:ascii="Helvetica" w:hAnsi="Helvetica"/>
          <w:i/>
          <w:iCs/>
          <w:sz w:val="20"/>
          <w:szCs w:val="20"/>
        </w:rPr>
        <w:t>BMC Bioinformatics</w:t>
      </w:r>
      <w:r w:rsidRPr="007C5BF0">
        <w:rPr>
          <w:rFonts w:ascii="Helvetica" w:hAnsi="Helvetica"/>
          <w:sz w:val="20"/>
          <w:szCs w:val="20"/>
        </w:rPr>
        <w:t xml:space="preserve"> 2016</w:t>
      </w:r>
      <w:r w:rsidR="007C5BF0" w:rsidRPr="007C5BF0">
        <w:rPr>
          <w:rFonts w:ascii="Helvetica" w:hAnsi="Helvetica"/>
          <w:sz w:val="20"/>
          <w:szCs w:val="20"/>
        </w:rPr>
        <w:t xml:space="preserve"> Sep; </w:t>
      </w:r>
      <w:r w:rsidRPr="007C5BF0">
        <w:rPr>
          <w:rFonts w:ascii="Helvetica" w:hAnsi="Helvetica"/>
          <w:bCs/>
          <w:sz w:val="20"/>
          <w:szCs w:val="20"/>
        </w:rPr>
        <w:t>17</w:t>
      </w:r>
      <w:r w:rsidR="007C5BF0" w:rsidRPr="007C5BF0">
        <w:rPr>
          <w:rFonts w:ascii="Helvetica" w:hAnsi="Helvetica"/>
          <w:sz w:val="20"/>
          <w:szCs w:val="20"/>
        </w:rPr>
        <w:t xml:space="preserve">(1): 366 PubMed PMID </w:t>
      </w:r>
      <w:r w:rsidR="007C5BF0"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>27618863</w:t>
      </w:r>
    </w:p>
    <w:p w14:paraId="1C39C8D0" w14:textId="2E31551F" w:rsidR="00F53C0E" w:rsidRPr="007C5BF0" w:rsidRDefault="00F53C0E" w:rsidP="007C5BF0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0"/>
          <w:szCs w:val="20"/>
        </w:rPr>
      </w:pPr>
      <w:r w:rsidRPr="007C5BF0">
        <w:rPr>
          <w:rFonts w:ascii="Helvetica" w:eastAsia="Times New Roman" w:hAnsi="Helvetica" w:cs="Times New Roman"/>
          <w:sz w:val="20"/>
          <w:szCs w:val="20"/>
        </w:rPr>
        <w:t xml:space="preserve">Wang J, Kaletsky R, Silva M, Williams A, Haas LA, Androwski RJ, Landis JN, Patrick C, Rashid A, Santiago-Martinez D, Gravato-Nobre M, Hodgkin J, Hall DH, Murphy CT, Barr MM: </w:t>
      </w:r>
      <w:r w:rsidRPr="007C5BF0">
        <w:rPr>
          <w:rFonts w:ascii="Helvetica" w:eastAsia="Times New Roman" w:hAnsi="Helvetica" w:cs="Times New Roman"/>
          <w:bCs/>
          <w:sz w:val="20"/>
          <w:szCs w:val="20"/>
        </w:rPr>
        <w:t xml:space="preserve">Cell-Specific Transcriptional Profiling of Ciliated Sensory Neurons Reveals Regulators of Behavior </w:t>
      </w:r>
      <w:r w:rsidRPr="007C5BF0">
        <w:rPr>
          <w:rFonts w:ascii="Helvetica" w:eastAsia="Times New Roman" w:hAnsi="Helvetica" w:cs="Times New Roman"/>
          <w:bCs/>
          <w:sz w:val="20"/>
          <w:szCs w:val="20"/>
        </w:rPr>
        <w:lastRenderedPageBreak/>
        <w:t>and Extracellular Vesicle Biogenesis</w:t>
      </w:r>
      <w:r w:rsidRPr="007C5BF0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Pr="007C5BF0">
        <w:rPr>
          <w:rFonts w:ascii="Helvetica" w:eastAsia="Times New Roman" w:hAnsi="Helvetica" w:cs="Times New Roman"/>
          <w:i/>
          <w:iCs/>
          <w:sz w:val="20"/>
          <w:szCs w:val="20"/>
        </w:rPr>
        <w:t>Curr Biol</w:t>
      </w:r>
      <w:r w:rsidRPr="007C5BF0">
        <w:rPr>
          <w:rFonts w:ascii="Helvetica" w:eastAsia="Times New Roman" w:hAnsi="Helvetica" w:cs="Times New Roman"/>
          <w:sz w:val="20"/>
          <w:szCs w:val="20"/>
        </w:rPr>
        <w:t xml:space="preserve"> 2015</w:t>
      </w:r>
      <w:r w:rsidR="007C5BF0" w:rsidRPr="007C5BF0">
        <w:rPr>
          <w:rFonts w:ascii="Helvetica" w:eastAsia="Times New Roman" w:hAnsi="Helvetica" w:cs="Times New Roman"/>
          <w:sz w:val="20"/>
          <w:szCs w:val="20"/>
        </w:rPr>
        <w:t xml:space="preserve"> Dec; 25: 3232–3238 PubMed PMID </w:t>
      </w:r>
      <w:r w:rsidR="007C5BF0" w:rsidRPr="007C5BF0">
        <w:rPr>
          <w:rFonts w:ascii="Helvetica" w:eastAsia="Times New Roman" w:hAnsi="Helvetica" w:cs="Arial"/>
          <w:sz w:val="20"/>
          <w:szCs w:val="20"/>
          <w:shd w:val="clear" w:color="auto" w:fill="FFFFFF"/>
        </w:rPr>
        <w:t>26687621</w:t>
      </w:r>
    </w:p>
    <w:p w14:paraId="0EAD621C" w14:textId="77777777" w:rsidR="00936F29" w:rsidRPr="0069399D" w:rsidRDefault="00936F29" w:rsidP="00423198">
      <w:pPr>
        <w:jc w:val="both"/>
        <w:rPr>
          <w:rFonts w:ascii="Helvetica" w:eastAsia="Times New Roman" w:hAnsi="Helvetica" w:cs="Times New Roman"/>
          <w:sz w:val="20"/>
          <w:szCs w:val="20"/>
        </w:rPr>
      </w:pPr>
    </w:p>
    <w:p w14:paraId="7A994D7B" w14:textId="77777777" w:rsidR="005D1FAC" w:rsidRPr="0069399D" w:rsidRDefault="005D1FAC" w:rsidP="00BA4DC9">
      <w:pPr>
        <w:rPr>
          <w:rFonts w:ascii="Helvetica" w:hAnsi="Helvetica" w:cs="Times New Roman"/>
          <w:b/>
          <w:sz w:val="20"/>
          <w:szCs w:val="20"/>
        </w:rPr>
      </w:pPr>
    </w:p>
    <w:p w14:paraId="403F3322" w14:textId="5E549237" w:rsidR="002238C5" w:rsidRPr="0045729D" w:rsidRDefault="00423198" w:rsidP="0045729D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20"/>
          <w:szCs w:val="20"/>
        </w:rPr>
      </w:pPr>
      <w:r w:rsidRPr="0069399D">
        <w:rPr>
          <w:rFonts w:ascii="Helvetica" w:hAnsi="Helvetica" w:cs="Times New Roman"/>
          <w:b/>
          <w:color w:val="000000"/>
          <w:sz w:val="20"/>
          <w:szCs w:val="20"/>
        </w:rPr>
        <w:t>Funding</w:t>
      </w:r>
      <w:r w:rsidRPr="0069399D">
        <w:rPr>
          <w:rFonts w:ascii="Helvetica" w:hAnsi="Helvetica" w:cs="Times New Roman"/>
          <w:color w:val="000000"/>
          <w:sz w:val="20"/>
          <w:szCs w:val="20"/>
        </w:rPr>
        <w:t xml:space="preserve">: </w:t>
      </w:r>
      <w:r w:rsidR="002238C5" w:rsidRPr="0069399D">
        <w:rPr>
          <w:rFonts w:ascii="Helvetica" w:eastAsiaTheme="minorHAnsi" w:hAnsi="Helvetica" w:cs="Times New Roman"/>
          <w:color w:val="000000"/>
          <w:sz w:val="20"/>
          <w:szCs w:val="20"/>
        </w:rPr>
        <w:t xml:space="preserve">This work was supported by the NIH grant U41 HG002223. </w:t>
      </w:r>
    </w:p>
    <w:p w14:paraId="715A06DD" w14:textId="77777777" w:rsidR="005D1FAC" w:rsidRPr="0069399D" w:rsidRDefault="005D1FAC" w:rsidP="00423198">
      <w:pPr>
        <w:rPr>
          <w:rStyle w:val="Hyperlink"/>
          <w:rFonts w:ascii="Helvetica" w:eastAsia="Times New Roman" w:hAnsi="Helvetica" w:cs="Times New Roman"/>
          <w:sz w:val="20"/>
          <w:szCs w:val="20"/>
        </w:rPr>
      </w:pPr>
    </w:p>
    <w:p w14:paraId="5B78E77F" w14:textId="77777777" w:rsidR="005D1FAC" w:rsidRPr="0069399D" w:rsidRDefault="005D1FAC" w:rsidP="005D1FAC">
      <w:pPr>
        <w:rPr>
          <w:rStyle w:val="Hyperlink"/>
          <w:rFonts w:ascii="Helvetica" w:eastAsia="Times New Roman" w:hAnsi="Helvetica" w:cs="Times New Roman"/>
          <w:b/>
          <w:color w:val="auto"/>
          <w:sz w:val="20"/>
          <w:szCs w:val="20"/>
          <w:u w:val="none"/>
        </w:rPr>
      </w:pPr>
      <w:r w:rsidRPr="0069399D">
        <w:rPr>
          <w:rStyle w:val="Hyperlink"/>
          <w:rFonts w:ascii="Helvetica" w:eastAsia="Times New Roman" w:hAnsi="Helvetica" w:cs="Times New Roman"/>
          <w:b/>
          <w:color w:val="auto"/>
          <w:sz w:val="20"/>
          <w:szCs w:val="20"/>
          <w:u w:val="none"/>
        </w:rPr>
        <w:t>Please select a tag below that best describes your submission:</w:t>
      </w:r>
    </w:p>
    <w:p w14:paraId="45F38F12" w14:textId="6B536B82" w:rsidR="005D1FAC" w:rsidRPr="0069399D" w:rsidRDefault="00081328" w:rsidP="005D1FAC">
      <w:pPr>
        <w:rPr>
          <w:rStyle w:val="Hyperlink"/>
          <w:rFonts w:ascii="Helvetica" w:eastAsia="Times New Roman" w:hAnsi="Helvetica" w:cs="Times New Roman"/>
          <w:color w:val="auto"/>
          <w:sz w:val="20"/>
          <w:szCs w:val="20"/>
          <w:u w:val="none"/>
        </w:rPr>
      </w:pPr>
      <w:r w:rsidRPr="0069399D">
        <w:rPr>
          <w:rStyle w:val="Hyperlink"/>
          <w:rFonts w:ascii="Helvetica" w:eastAsia="Times New Roman" w:hAnsi="Helvetica" w:cs="Times New Roman"/>
          <w:color w:val="auto"/>
          <w:sz w:val="20"/>
          <w:szCs w:val="20"/>
          <w:u w:val="none"/>
        </w:rPr>
        <w:t>Methods</w:t>
      </w:r>
    </w:p>
    <w:p w14:paraId="7A3175E5" w14:textId="77777777" w:rsidR="0065186E" w:rsidRPr="0069399D" w:rsidRDefault="0065186E" w:rsidP="005D1FAC">
      <w:pPr>
        <w:rPr>
          <w:rStyle w:val="Hyperlink"/>
          <w:rFonts w:ascii="Helvetica" w:eastAsia="Times New Roman" w:hAnsi="Helvetica" w:cs="Times New Roman"/>
          <w:color w:val="auto"/>
          <w:sz w:val="20"/>
          <w:szCs w:val="20"/>
          <w:u w:val="none"/>
        </w:rPr>
      </w:pPr>
    </w:p>
    <w:p w14:paraId="26056242" w14:textId="37974CF4" w:rsidR="0065186E" w:rsidRPr="0069399D" w:rsidRDefault="0065186E" w:rsidP="005D1FAC">
      <w:pPr>
        <w:rPr>
          <w:rStyle w:val="Hyperlink"/>
          <w:rFonts w:ascii="Helvetica" w:eastAsia="Times New Roman" w:hAnsi="Helvetica" w:cs="Times New Roman"/>
          <w:b/>
          <w:color w:val="auto"/>
          <w:sz w:val="20"/>
          <w:szCs w:val="20"/>
          <w:u w:val="none"/>
        </w:rPr>
      </w:pPr>
      <w:r w:rsidRPr="0069399D">
        <w:rPr>
          <w:rStyle w:val="Hyperlink"/>
          <w:rFonts w:ascii="Helvetica" w:eastAsia="Times New Roman" w:hAnsi="Helvetica" w:cs="Times New Roman"/>
          <w:b/>
          <w:color w:val="auto"/>
          <w:sz w:val="20"/>
          <w:szCs w:val="20"/>
          <w:u w:val="none"/>
        </w:rPr>
        <w:t>Suggested Reviewer(s)</w:t>
      </w:r>
    </w:p>
    <w:p w14:paraId="61C7EA9F" w14:textId="77777777" w:rsidR="006D0FEC" w:rsidRPr="0069399D" w:rsidRDefault="006D0FEC" w:rsidP="005D1FAC">
      <w:pPr>
        <w:rPr>
          <w:rStyle w:val="Hyperlink"/>
          <w:rFonts w:ascii="Helvetica" w:eastAsia="Times New Roman" w:hAnsi="Helvetica" w:cs="Times New Roman"/>
          <w:b/>
          <w:color w:val="auto"/>
          <w:sz w:val="20"/>
          <w:szCs w:val="20"/>
          <w:u w:val="none"/>
        </w:rPr>
      </w:pPr>
    </w:p>
    <w:p w14:paraId="612A6715" w14:textId="77777777" w:rsidR="006D0FEC" w:rsidRPr="0069399D" w:rsidRDefault="006D0FEC" w:rsidP="006D0FEC">
      <w:pPr>
        <w:rPr>
          <w:rFonts w:ascii="Helvetica" w:hAnsi="Helvetica" w:cs="Times New Roman"/>
          <w:b/>
          <w:color w:val="BFBFBF" w:themeColor="background1" w:themeShade="BF"/>
          <w:sz w:val="20"/>
          <w:szCs w:val="20"/>
        </w:rPr>
      </w:pPr>
      <w:r w:rsidRPr="0069399D">
        <w:rPr>
          <w:rFonts w:ascii="Helvetica" w:hAnsi="Helvetica" w:cs="Times New Roman"/>
          <w:b/>
          <w:color w:val="BFBFBF" w:themeColor="background1" w:themeShade="BF"/>
          <w:sz w:val="20"/>
          <w:szCs w:val="20"/>
        </w:rPr>
        <w:t>Ignore the grayed out text below</w:t>
      </w:r>
    </w:p>
    <w:p w14:paraId="32C18AEA" w14:textId="77777777" w:rsidR="006D0FEC" w:rsidRPr="0069399D" w:rsidRDefault="006D0FEC" w:rsidP="006D0FEC">
      <w:pPr>
        <w:rPr>
          <w:rFonts w:ascii="Helvetica" w:hAnsi="Helvetica" w:cs="Times New Roman"/>
          <w:color w:val="BFBFBF" w:themeColor="background1" w:themeShade="BF"/>
          <w:sz w:val="20"/>
          <w:szCs w:val="20"/>
        </w:rPr>
      </w:pPr>
      <w:r w:rsidRPr="0069399D">
        <w:rPr>
          <w:rFonts w:ascii="Helvetica" w:hAnsi="Helvetica" w:cs="Times New Roman"/>
          <w:b/>
          <w:color w:val="BFBFBF" w:themeColor="background1" w:themeShade="BF"/>
          <w:sz w:val="20"/>
          <w:szCs w:val="20"/>
        </w:rPr>
        <w:t>Reviewed by</w:t>
      </w:r>
      <w:r w:rsidRPr="0069399D">
        <w:rPr>
          <w:rFonts w:ascii="Helvetica" w:hAnsi="Helvetica" w:cs="Times New Roman"/>
          <w:color w:val="BFBFBF" w:themeColor="background1" w:themeShade="BF"/>
          <w:sz w:val="20"/>
          <w:szCs w:val="20"/>
        </w:rPr>
        <w:t xml:space="preserve"> </w:t>
      </w:r>
    </w:p>
    <w:p w14:paraId="45FAF744" w14:textId="77777777" w:rsidR="006D0FEC" w:rsidRPr="0069399D" w:rsidRDefault="006D0FEC" w:rsidP="006D0FEC">
      <w:pPr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</w:pPr>
      <w:r w:rsidRPr="0069399D">
        <w:rPr>
          <w:rFonts w:ascii="Helvetica" w:hAnsi="Helvetica" w:cs="Times New Roman"/>
          <w:b/>
          <w:color w:val="BFBFBF" w:themeColor="background1" w:themeShade="BF"/>
          <w:sz w:val="20"/>
          <w:szCs w:val="20"/>
        </w:rPr>
        <w:t xml:space="preserve">Received </w:t>
      </w:r>
      <w:r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 xml:space="preserve">dd/dd/dddd, </w:t>
      </w:r>
      <w:r w:rsidRPr="0069399D">
        <w:rPr>
          <w:rStyle w:val="Strong"/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>Accepted</w:t>
      </w:r>
      <w:r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 xml:space="preserve"> dd/dd/dddd. </w:t>
      </w:r>
      <w:r w:rsidRPr="0069399D">
        <w:rPr>
          <w:rStyle w:val="Strong"/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>Available</w:t>
      </w:r>
      <w:r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 xml:space="preserve"> starting </w:t>
      </w:r>
      <w:hyperlink r:id="rId11" w:history="1">
        <w:r w:rsidRPr="0069399D">
          <w:rPr>
            <w:rStyle w:val="Hyperlink"/>
            <w:rFonts w:ascii="Helvetica" w:eastAsia="Times New Roman" w:hAnsi="Helvetica" w:cs="Times New Roman"/>
            <w:color w:val="BFBFBF" w:themeColor="background1" w:themeShade="BF"/>
            <w:sz w:val="20"/>
            <w:szCs w:val="20"/>
          </w:rPr>
          <w:t>WormBase</w:t>
        </w:r>
      </w:hyperlink>
      <w:r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 xml:space="preserve"> release WSxxx, </w:t>
      </w:r>
      <w:r w:rsidRPr="0069399D">
        <w:rPr>
          <w:rStyle w:val="Strong"/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 xml:space="preserve">Published Online </w:t>
      </w:r>
      <w:r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>dd/dd/dddd.</w:t>
      </w:r>
    </w:p>
    <w:p w14:paraId="47ECD7C0" w14:textId="77777777" w:rsidR="006D0FEC" w:rsidRPr="0069399D" w:rsidRDefault="006D0FEC" w:rsidP="006D0FEC">
      <w:pPr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</w:pPr>
    </w:p>
    <w:p w14:paraId="641DB7BD" w14:textId="4C01C177" w:rsidR="006D0FEC" w:rsidRPr="0069399D" w:rsidRDefault="006D0FEC" w:rsidP="006D0FEC">
      <w:pPr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</w:pPr>
      <w:r w:rsidRPr="0069399D">
        <w:rPr>
          <w:rStyle w:val="Strong"/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>Copyright:</w:t>
      </w:r>
      <w:r w:rsidR="004D7DAB"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 xml:space="preserve"> © 2017</w:t>
      </w:r>
      <w:r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 xml:space="preserve">. This is an open-access article distributed under the terms of the Creative Commons Attribution License, which permits unrestricted use, distribution, and reproduction in any medium, provided the original author and source are credited. </w:t>
      </w:r>
    </w:p>
    <w:p w14:paraId="631EC971" w14:textId="77777777" w:rsidR="006D0FEC" w:rsidRPr="0069399D" w:rsidRDefault="006D0FEC" w:rsidP="006D0FEC">
      <w:pPr>
        <w:rPr>
          <w:rFonts w:ascii="Helvetica" w:eastAsia="Times New Roman" w:hAnsi="Helvetica" w:cs="Times New Roman"/>
          <w:sz w:val="20"/>
          <w:szCs w:val="20"/>
        </w:rPr>
      </w:pPr>
    </w:p>
    <w:p w14:paraId="4D80CC4C" w14:textId="65A8F0D8" w:rsidR="006D0FEC" w:rsidRPr="0069399D" w:rsidRDefault="006D0FEC" w:rsidP="005D1FAC">
      <w:pPr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</w:pPr>
      <w:r w:rsidRPr="0069399D">
        <w:rPr>
          <w:rStyle w:val="Strong"/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>Citation</w:t>
      </w:r>
      <w:r w:rsidRPr="0069399D">
        <w:rPr>
          <w:rFonts w:ascii="Helvetica" w:eastAsia="Times New Roman" w:hAnsi="Helvetica" w:cs="Times New Roman"/>
          <w:color w:val="BFBFBF" w:themeColor="background1" w:themeShade="BF"/>
          <w:sz w:val="20"/>
          <w:szCs w:val="20"/>
        </w:rPr>
        <w:t>:</w:t>
      </w:r>
      <w:r w:rsidRPr="0069399D">
        <w:rPr>
          <w:rFonts w:ascii="Helvetica" w:eastAsia="Times New Roman" w:hAnsi="Helvetica" w:cs="Times New Roman"/>
          <w:b/>
          <w:color w:val="BFBFBF" w:themeColor="background1" w:themeShade="BF"/>
          <w:sz w:val="20"/>
          <w:szCs w:val="20"/>
        </w:rPr>
        <w:t xml:space="preserve"> </w:t>
      </w:r>
    </w:p>
    <w:sectPr w:rsidR="006D0FEC" w:rsidRPr="0069399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E43A" w14:textId="77777777" w:rsidR="001905FE" w:rsidRDefault="001905FE" w:rsidP="00286621">
      <w:r>
        <w:separator/>
      </w:r>
    </w:p>
  </w:endnote>
  <w:endnote w:type="continuationSeparator" w:id="0">
    <w:p w14:paraId="15C65DDF" w14:textId="77777777" w:rsidR="001905FE" w:rsidRDefault="001905FE" w:rsidP="0028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91C4A" w14:textId="77777777" w:rsidR="001905FE" w:rsidRDefault="001905FE" w:rsidP="00286621">
      <w:r>
        <w:separator/>
      </w:r>
    </w:p>
  </w:footnote>
  <w:footnote w:type="continuationSeparator" w:id="0">
    <w:p w14:paraId="784367F7" w14:textId="77777777" w:rsidR="001905FE" w:rsidRDefault="001905FE" w:rsidP="00286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84"/>
      <w:gridCol w:w="376"/>
    </w:tblGrid>
    <w:tr w:rsidR="005D1FAC" w14:paraId="0824F431" w14:textId="77777777" w:rsidTr="00BA74D2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39896642" w14:textId="77777777" w:rsidR="005D1FAC" w:rsidRPr="00DD38F9" w:rsidRDefault="005D1FAC" w:rsidP="00BA74D2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786ADD">
            <w:rPr>
              <w:rFonts w:ascii="Calibri" w:hAnsi="Calibri"/>
              <w:b/>
              <w:bCs/>
              <w:noProof/>
              <w:color w:val="000000" w:themeColor="text1"/>
            </w:rPr>
            <w:drawing>
              <wp:inline distT="0" distB="0" distL="0" distR="0" wp14:anchorId="21D8E31C" wp14:editId="188D6125">
                <wp:extent cx="2121897" cy="378460"/>
                <wp:effectExtent l="0" t="0" r="12065" b="2540"/>
                <wp:docPr id="5" name="Picture 4" descr="Screen Shot 2016-10-11 at 8.45.55 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Screen Shot 2016-10-11 at 8.45.55 AM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138" cy="378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786ADD">
            <w:rPr>
              <w:rFonts w:ascii="Calibri" w:hAnsi="Calibri"/>
              <w:b/>
              <w:bCs/>
              <w:color w:val="000000" w:themeColor="text1"/>
            </w:rPr>
            <w:t xml:space="preserve"> </w:t>
          </w:r>
        </w:p>
      </w:tc>
      <w:tc>
        <w:tcPr>
          <w:tcW w:w="201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14:paraId="6724C1A0" w14:textId="77777777" w:rsidR="005D1FAC" w:rsidRDefault="005D1FAC" w:rsidP="00BA74D2">
          <w:pPr>
            <w:pStyle w:val="Header"/>
            <w:rPr>
              <w:color w:val="FFFFFF" w:themeColor="background1"/>
            </w:rPr>
          </w:pPr>
        </w:p>
      </w:tc>
    </w:tr>
  </w:tbl>
  <w:p w14:paraId="2D5D15BD" w14:textId="45E89458" w:rsidR="005D1FAC" w:rsidRPr="00BA74D2" w:rsidRDefault="005D1FAC">
    <w:pPr>
      <w:pStyle w:val="Header"/>
      <w:rPr>
        <w:sz w:val="16"/>
        <w:szCs w:val="16"/>
      </w:rPr>
    </w:pPr>
    <w:r>
      <w:rPr>
        <w:sz w:val="16"/>
        <w:szCs w:val="16"/>
      </w:rPr>
      <w:t>dd</w:t>
    </w:r>
    <w:r w:rsidRPr="000D3865">
      <w:rPr>
        <w:sz w:val="16"/>
        <w:szCs w:val="16"/>
      </w:rPr>
      <w:t>/</w:t>
    </w:r>
    <w:r>
      <w:rPr>
        <w:sz w:val="16"/>
        <w:szCs w:val="16"/>
      </w:rPr>
      <w:t>dd</w:t>
    </w:r>
    <w:r w:rsidRPr="000D3865">
      <w:rPr>
        <w:sz w:val="16"/>
        <w:szCs w:val="16"/>
      </w:rPr>
      <w:t>/</w:t>
    </w:r>
    <w:r>
      <w:rPr>
        <w:sz w:val="16"/>
        <w:szCs w:val="16"/>
      </w:rPr>
      <w:t xml:space="preserve">dddd – </w:t>
    </w:r>
    <w:r w:rsidRPr="005D1DCD">
      <w:rPr>
        <w:i/>
        <w:sz w:val="16"/>
        <w:szCs w:val="16"/>
      </w:rPr>
      <w:t>Open Access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CBC83F2"/>
    <w:lvl w:ilvl="0" w:tplc="41FCD0E2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96D26"/>
    <w:multiLevelType w:val="hybridMultilevel"/>
    <w:tmpl w:val="9468C2F2"/>
    <w:lvl w:ilvl="0" w:tplc="85767F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83DE0"/>
    <w:multiLevelType w:val="hybridMultilevel"/>
    <w:tmpl w:val="7F58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318FA"/>
    <w:multiLevelType w:val="hybridMultilevel"/>
    <w:tmpl w:val="FCBC83F2"/>
    <w:lvl w:ilvl="0" w:tplc="41FCD0E2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F0A2D50"/>
    <w:multiLevelType w:val="hybridMultilevel"/>
    <w:tmpl w:val="03A29D40"/>
    <w:lvl w:ilvl="0" w:tplc="BE5C4D40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C9"/>
    <w:rsid w:val="000013B6"/>
    <w:rsid w:val="000061BB"/>
    <w:rsid w:val="00035914"/>
    <w:rsid w:val="0004799D"/>
    <w:rsid w:val="00047A58"/>
    <w:rsid w:val="00081328"/>
    <w:rsid w:val="000C576E"/>
    <w:rsid w:val="000E1DAC"/>
    <w:rsid w:val="00144D2B"/>
    <w:rsid w:val="001905FE"/>
    <w:rsid w:val="0019369D"/>
    <w:rsid w:val="0019681D"/>
    <w:rsid w:val="001C703E"/>
    <w:rsid w:val="00206B17"/>
    <w:rsid w:val="002238C5"/>
    <w:rsid w:val="00286621"/>
    <w:rsid w:val="002B2731"/>
    <w:rsid w:val="002F4C05"/>
    <w:rsid w:val="003B78CC"/>
    <w:rsid w:val="003D1079"/>
    <w:rsid w:val="00423198"/>
    <w:rsid w:val="00440D41"/>
    <w:rsid w:val="0045729D"/>
    <w:rsid w:val="0049535D"/>
    <w:rsid w:val="004A41EA"/>
    <w:rsid w:val="004A5F23"/>
    <w:rsid w:val="004B361F"/>
    <w:rsid w:val="004D7DAB"/>
    <w:rsid w:val="004F21C6"/>
    <w:rsid w:val="00512E67"/>
    <w:rsid w:val="00531739"/>
    <w:rsid w:val="00553C36"/>
    <w:rsid w:val="00556A3E"/>
    <w:rsid w:val="0056488B"/>
    <w:rsid w:val="005B7F64"/>
    <w:rsid w:val="005D1FAC"/>
    <w:rsid w:val="005D57A2"/>
    <w:rsid w:val="005D7F19"/>
    <w:rsid w:val="00605C5F"/>
    <w:rsid w:val="00611C8E"/>
    <w:rsid w:val="00617D45"/>
    <w:rsid w:val="0065186E"/>
    <w:rsid w:val="006545EF"/>
    <w:rsid w:val="006567EC"/>
    <w:rsid w:val="0069399D"/>
    <w:rsid w:val="006A6AF7"/>
    <w:rsid w:val="006B14DE"/>
    <w:rsid w:val="006D0FEC"/>
    <w:rsid w:val="006F3A6F"/>
    <w:rsid w:val="00722B83"/>
    <w:rsid w:val="00743EF3"/>
    <w:rsid w:val="00770A0C"/>
    <w:rsid w:val="00781797"/>
    <w:rsid w:val="007C5BF0"/>
    <w:rsid w:val="007C68DB"/>
    <w:rsid w:val="007D4BD6"/>
    <w:rsid w:val="007E36FC"/>
    <w:rsid w:val="007F2653"/>
    <w:rsid w:val="0080690B"/>
    <w:rsid w:val="00851F34"/>
    <w:rsid w:val="00856B7E"/>
    <w:rsid w:val="00877B4C"/>
    <w:rsid w:val="008B502E"/>
    <w:rsid w:val="00912137"/>
    <w:rsid w:val="0092000B"/>
    <w:rsid w:val="00936F29"/>
    <w:rsid w:val="00943F68"/>
    <w:rsid w:val="009634BF"/>
    <w:rsid w:val="00966E54"/>
    <w:rsid w:val="0097222D"/>
    <w:rsid w:val="009823CA"/>
    <w:rsid w:val="00983AF4"/>
    <w:rsid w:val="009B2E90"/>
    <w:rsid w:val="00A7003D"/>
    <w:rsid w:val="00B008E5"/>
    <w:rsid w:val="00B35117"/>
    <w:rsid w:val="00B369F1"/>
    <w:rsid w:val="00B744F0"/>
    <w:rsid w:val="00BA0C31"/>
    <w:rsid w:val="00BA4DC9"/>
    <w:rsid w:val="00BA74D2"/>
    <w:rsid w:val="00BC6F71"/>
    <w:rsid w:val="00BE3CF8"/>
    <w:rsid w:val="00C14F87"/>
    <w:rsid w:val="00CE07DE"/>
    <w:rsid w:val="00D130A2"/>
    <w:rsid w:val="00D22C54"/>
    <w:rsid w:val="00D26D81"/>
    <w:rsid w:val="00DB3CC3"/>
    <w:rsid w:val="00DD7FA2"/>
    <w:rsid w:val="00DE67C8"/>
    <w:rsid w:val="00E00E5B"/>
    <w:rsid w:val="00ED29C8"/>
    <w:rsid w:val="00EF64C5"/>
    <w:rsid w:val="00F41ED7"/>
    <w:rsid w:val="00F53C0E"/>
    <w:rsid w:val="00F605D4"/>
    <w:rsid w:val="00F87FA5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6F2B7B"/>
  <w15:docId w15:val="{C6EC1F80-80C0-854C-9CA8-BE8BFA1F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DC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4DC9"/>
    <w:rPr>
      <w:b/>
      <w:bCs/>
    </w:rPr>
  </w:style>
  <w:style w:type="character" w:customStyle="1" w:styleId="locus">
    <w:name w:val="locus"/>
    <w:basedOn w:val="DefaultParagraphFont"/>
    <w:rsid w:val="00BA4DC9"/>
  </w:style>
  <w:style w:type="paragraph" w:styleId="ListParagraph">
    <w:name w:val="List Paragraph"/>
    <w:basedOn w:val="Normal"/>
    <w:uiPriority w:val="34"/>
    <w:qFormat/>
    <w:rsid w:val="00BA4D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69F1"/>
  </w:style>
  <w:style w:type="paragraph" w:styleId="Header">
    <w:name w:val="header"/>
    <w:basedOn w:val="Normal"/>
    <w:link w:val="HeaderChar"/>
    <w:uiPriority w:val="99"/>
    <w:unhideWhenUsed/>
    <w:rsid w:val="00286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2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6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21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4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4D2"/>
    <w:rPr>
      <w:rFonts w:ascii="Lucida Grande" w:eastAsiaTheme="minorEastAsia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0A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4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(null)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ormbase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geles/TissueEnrichmentAnalysis/blob/master/tutorial/Tutorial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rmbase.org/tools/enrichment/tea/tea.cg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487D40-58E4-564E-B2B9-8CA46CFE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yoanne clovis</dc:creator>
  <cp:keywords/>
  <dc:description/>
  <cp:lastModifiedBy>Microsoft Office User</cp:lastModifiedBy>
  <cp:revision>23</cp:revision>
  <cp:lastPrinted>2018-01-02T23:18:00Z</cp:lastPrinted>
  <dcterms:created xsi:type="dcterms:W3CDTF">2018-02-07T01:40:00Z</dcterms:created>
  <dcterms:modified xsi:type="dcterms:W3CDTF">2018-03-19T17:05:00Z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http://www.zotero.org/styles/bmc-bioinformatics</vt:lpwstr>
  </property>
  <property fmtid="{D5CDD505-2E9C-101B-9397-08002B2CF9AE}" pid="5" name="Mendeley Recent Style Name 1_1">
    <vt:lpwstr>BMC Bioinformatics</vt:lpwstr>
  </property>
  <property fmtid="{D5CDD505-2E9C-101B-9397-08002B2CF9AE}" pid="6" name="Mendeley Recent Style Id 2_1">
    <vt:lpwstr>http://www.zotero.org/styles/bmc-biology</vt:lpwstr>
  </property>
  <property fmtid="{D5CDD505-2E9C-101B-9397-08002B2CF9AE}" pid="7" name="Mendeley Recent Style Name 2_1">
    <vt:lpwstr>BMC Biology</vt:lpwstr>
  </property>
  <property fmtid="{D5CDD505-2E9C-101B-9397-08002B2CF9AE}" pid="8" name="Mendeley Recent Style Id 3_1">
    <vt:lpwstr>http://www.zotero.org/styles/bmc-biotechnology</vt:lpwstr>
  </property>
  <property fmtid="{D5CDD505-2E9C-101B-9397-08002B2CF9AE}" pid="9" name="Mendeley Recent Style Name 3_1">
    <vt:lpwstr>BMC Biotechnology</vt:lpwstr>
  </property>
  <property fmtid="{D5CDD505-2E9C-101B-9397-08002B2CF9AE}" pid="10" name="Mendeley Recent Style Id 4_1">
    <vt:lpwstr>http://www.zotero.org/styles/biomed-central</vt:lpwstr>
  </property>
  <property fmtid="{D5CDD505-2E9C-101B-9397-08002B2CF9AE}" pid="11" name="Mendeley Recent Style Name 4_1">
    <vt:lpwstr>BioMed Central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bf8f032c-8048-308e-b42c-b8a97b5f4365</vt:lpwstr>
  </property>
  <property fmtid="{D5CDD505-2E9C-101B-9397-08002B2CF9AE}" pid="24" name="Mendeley Citation Style_1">
    <vt:lpwstr>http://www.zotero.org/styles/national-library-of-medicine</vt:lpwstr>
  </property>
</Properties>
</file>