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A6B" w:rsidRPr="00757288" w:rsidRDefault="00767A6B" w:rsidP="00BA546B">
      <w:pPr>
        <w:spacing w:after="0" w:line="240" w:lineRule="auto"/>
        <w:rPr>
          <w:rFonts w:ascii="Arial" w:hAnsi="Arial" w:cs="Arial"/>
          <w:sz w:val="12"/>
          <w:szCs w:val="12"/>
        </w:rPr>
      </w:pPr>
      <w:bookmarkStart w:id="0" w:name="_GoBack"/>
      <w:bookmarkEnd w:id="0"/>
    </w:p>
    <w:tbl>
      <w:tblPr>
        <w:tblStyle w:val="Grilledutableau"/>
        <w:tblW w:w="15984" w:type="dxa"/>
        <w:tblLook w:val="04A0" w:firstRow="1" w:lastRow="0" w:firstColumn="1" w:lastColumn="0" w:noHBand="0" w:noVBand="1"/>
      </w:tblPr>
      <w:tblGrid>
        <w:gridCol w:w="6197"/>
        <w:gridCol w:w="397"/>
        <w:gridCol w:w="460"/>
        <w:gridCol w:w="8930"/>
      </w:tblGrid>
      <w:tr w:rsidR="007769B2" w:rsidTr="00916472">
        <w:tc>
          <w:tcPr>
            <w:tcW w:w="6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` tv,r"ïd&gt;nI hr"ATh; tADmi hrEf.[e vlov.Bi</w:t>
            </w: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Bwhebl" w:hAnsi="Bwhebl" w:cs="Arial"/>
                <w:b/>
                <w:bCs/>
                <w:sz w:val="32"/>
                <w:szCs w:val="32"/>
              </w:rPr>
              <w:t xml:space="preserve">` </w:t>
            </w:r>
            <w:r w:rsidRPr="00E37E8D">
              <w:rPr>
                <w:rFonts w:ascii="Bwhebl" w:hAnsi="Bwhebl" w:cs="Arial"/>
                <w:sz w:val="32"/>
                <w:szCs w:val="32"/>
              </w:rPr>
              <w:t>rmeAa la[em'v.yI yBir: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769B2" w:rsidRPr="00757288" w:rsidRDefault="007769B2" w:rsidP="00757288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7288">
              <w:rPr>
                <w:rFonts w:ascii="Arial" w:hAnsi="Arial" w:cs="Arial"/>
                <w:sz w:val="24"/>
                <w:szCs w:val="24"/>
              </w:rPr>
              <w:t>(</w:t>
            </w:r>
            <w:r w:rsidRPr="00757288">
              <w:rPr>
                <w:rFonts w:ascii="Arial" w:hAnsi="Arial" w:cs="Arial"/>
                <w:sz w:val="24"/>
                <w:szCs w:val="24"/>
                <w:rtl/>
              </w:rPr>
              <w:t>א</w:t>
            </w:r>
            <w:r w:rsidRPr="0075728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39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69B2" w:rsidRPr="00BE2EBB" w:rsidRDefault="007769B2" w:rsidP="00A564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ab/>
            </w:r>
            <w:r w:rsidRPr="007769B2">
              <w:rPr>
                <w:rFonts w:ascii="Arial" w:hAnsi="Arial" w:cs="Arial"/>
                <w:b/>
                <w:bCs/>
                <w:bdr w:val="single" w:sz="4" w:space="0" w:color="auto"/>
              </w:rPr>
              <w:t>Rabbi Yishmaél</w:t>
            </w:r>
            <w:r w:rsidRPr="007769B2">
              <w:rPr>
                <w:rFonts w:ascii="Arial" w:hAnsi="Arial" w:cs="Arial"/>
                <w:b/>
                <w:bCs/>
              </w:rPr>
              <w:t xml:space="preserve"> dit :</w:t>
            </w:r>
            <w:r w:rsidRPr="007769B2">
              <w:rPr>
                <w:rFonts w:ascii="Arial" w:hAnsi="Arial" w:cs="Arial"/>
                <w:b/>
                <w:bCs/>
                <w:lang w:val="en-US"/>
              </w:rPr>
              <w:t xml:space="preserve"> La Tora est interprétée par trei</w:t>
            </w:r>
            <w:r w:rsidR="00A56473">
              <w:rPr>
                <w:rFonts w:ascii="Arial" w:hAnsi="Arial" w:cs="Arial"/>
                <w:b/>
                <w:bCs/>
                <w:lang w:val="en-US"/>
              </w:rPr>
              <w:t>z</w:t>
            </w:r>
            <w:r w:rsidRPr="007769B2">
              <w:rPr>
                <w:rFonts w:ascii="Arial" w:hAnsi="Arial" w:cs="Arial"/>
                <w:b/>
                <w:bCs/>
                <w:lang w:val="en-US"/>
              </w:rPr>
              <w:t>e principes herméneutiques</w:t>
            </w:r>
            <w:r w:rsidRPr="007769B2">
              <w:rPr>
                <w:rFonts w:ascii="Arial" w:hAnsi="Arial" w:cs="Arial"/>
                <w:b/>
                <w:bCs/>
                <w:sz w:val="14"/>
                <w:szCs w:val="14"/>
                <w:vertAlign w:val="superscript"/>
                <w:lang w:val="en-US"/>
              </w:rPr>
              <w:t xml:space="preserve"> </w:t>
            </w:r>
            <w:r w:rsidRPr="007769B2">
              <w:rPr>
                <w:rStyle w:val="Appelnotedebasdep"/>
                <w:rFonts w:ascii="Arial" w:hAnsi="Arial" w:cs="Arial"/>
                <w:b/>
                <w:bCs/>
                <w:color w:val="FF0000"/>
                <w:lang w:val="en-US"/>
              </w:rPr>
              <w:footnoteReference w:id="1"/>
            </w:r>
          </w:p>
        </w:tc>
      </w:tr>
      <w:tr w:rsidR="007769B2" w:rsidRPr="00C04910" w:rsidTr="00916472">
        <w:tc>
          <w:tcPr>
            <w:tcW w:w="6197" w:type="dxa"/>
            <w:tcBorders>
              <w:top w:val="single" w:sz="12" w:space="0" w:color="auto"/>
              <w:bottom w:val="single" w:sz="4" w:space="0" w:color="auto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Ãrmexo)w" lQ;mi</w:t>
            </w:r>
          </w:p>
        </w:tc>
        <w:tc>
          <w:tcPr>
            <w:tcW w:w="3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769B2" w:rsidRPr="00C04910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"Qal wa-</w:t>
            </w:r>
            <w:r w:rsidRPr="00BE2EBB">
              <w:rPr>
                <w:rFonts w:ascii="TIMES NRBIS" w:hAnsi="TIMES NRBIS" w:cs="Arial"/>
                <w:b/>
                <w:bCs/>
                <w:sz w:val="20"/>
                <w:szCs w:val="20"/>
                <w:lang w:val="en-US"/>
              </w:rPr>
              <w:t>¹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Homér"</w:t>
            </w:r>
            <w:r w:rsidRPr="00BE2EBB">
              <w:rPr>
                <w:rFonts w:ascii="Arial" w:hAnsi="Arial" w:cs="Arial"/>
                <w:sz w:val="20"/>
                <w:szCs w:val="20"/>
                <w:lang w:val="en-US"/>
              </w:rPr>
              <w:t xml:space="preserve"> : déduction a fortiori</w:t>
            </w:r>
          </w:p>
        </w:tc>
      </w:tr>
      <w:tr w:rsidR="007769B2" w:rsidRPr="004E0612" w:rsidTr="007769B2">
        <w:tc>
          <w:tcPr>
            <w:tcW w:w="6197" w:type="dxa"/>
            <w:tcBorders>
              <w:top w:val="single" w:sz="4" w:space="0" w:color="auto"/>
              <w:bottom w:val="double" w:sz="4" w:space="0" w:color="auto"/>
            </w:tcBorders>
          </w:tcPr>
          <w:p w:rsidR="007769B2" w:rsidRPr="00E37E8D" w:rsidRDefault="007769B2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hw"v' hr"zEG&gt;miW</w:t>
            </w:r>
          </w:p>
        </w:tc>
        <w:tc>
          <w:tcPr>
            <w:tcW w:w="397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769B2" w:rsidRPr="00C04910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"Gezérah Shawah"</w:t>
            </w:r>
            <w:r w:rsidRPr="00BE2EBB">
              <w:rPr>
                <w:rFonts w:ascii="Arial" w:hAnsi="Arial" w:cs="Arial"/>
                <w:sz w:val="20"/>
                <w:szCs w:val="20"/>
                <w:lang w:val="en-US"/>
              </w:rPr>
              <w:t xml:space="preserve"> : </w:t>
            </w:r>
            <w:r w:rsidRPr="00BE2EBB">
              <w:rPr>
                <w:rFonts w:ascii="Arial" w:hAnsi="Arial" w:cs="Arial"/>
                <w:sz w:val="20"/>
                <w:szCs w:val="20"/>
              </w:rPr>
              <w:t>analogie à partir de l'identité des termes</w:t>
            </w:r>
          </w:p>
        </w:tc>
      </w:tr>
      <w:tr w:rsidR="007769B2" w:rsidRPr="009D54BE" w:rsidTr="007769B2">
        <w:tc>
          <w:tcPr>
            <w:tcW w:w="6197" w:type="dxa"/>
            <w:tcBorders>
              <w:top w:val="double" w:sz="4" w:space="0" w:color="auto"/>
              <w:bottom w:val="nil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~ybiWtk. ynEvV.mi ba' !y"n&gt;BimiW</w:t>
            </w:r>
            <w:r>
              <w:rPr>
                <w:rFonts w:ascii="Bwhebl" w:hAnsi="Bwhebl" w:cs="Arial"/>
                <w:sz w:val="32"/>
                <w:szCs w:val="32"/>
                <w:lang w:val="en-US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Ãdx'ae bWtK'mi ba' !y"n&gt;Bimi</w:t>
            </w:r>
          </w:p>
        </w:tc>
        <w:tc>
          <w:tcPr>
            <w:tcW w:w="397" w:type="dxa"/>
            <w:tcBorders>
              <w:top w:val="double" w:sz="4" w:space="0" w:color="auto"/>
              <w:bottom w:val="nil"/>
            </w:tcBorders>
            <w:vAlign w:val="center"/>
          </w:tcPr>
          <w:p w:rsidR="007769B2" w:rsidRPr="009D54BE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"Binyan</w:t>
            </w:r>
            <w:r w:rsidRPr="00BE2EBB">
              <w:rPr>
                <w:rFonts w:ascii="TIMES NRBIS" w:hAnsi="TIMES NRBIS" w:cs="Arial"/>
                <w:b/>
                <w:bCs/>
                <w:sz w:val="20"/>
                <w:szCs w:val="20"/>
                <w:lang w:val="en-US"/>
              </w:rPr>
              <w:t xml:space="preserve"> ³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Av"</w:t>
            </w:r>
            <w:r w:rsidRPr="00BE2EBB">
              <w:rPr>
                <w:rFonts w:ascii="Arial" w:hAnsi="Arial" w:cs="Arial"/>
                <w:sz w:val="20"/>
                <w:szCs w:val="20"/>
                <w:lang w:val="en-US"/>
              </w:rPr>
              <w:t xml:space="preserve"> : </w:t>
            </w:r>
            <w:r w:rsidRPr="00BE2EBB">
              <w:rPr>
                <w:rFonts w:ascii="Arial" w:hAnsi="Arial" w:cs="Arial"/>
                <w:sz w:val="20"/>
                <w:szCs w:val="20"/>
              </w:rPr>
              <w:t>analogie sur la base d'un verset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BE2EBB">
              <w:rPr>
                <w:rFonts w:ascii="Arial" w:hAnsi="Arial" w:cs="Arial"/>
                <w:sz w:val="20"/>
                <w:szCs w:val="20"/>
              </w:rPr>
              <w:t>analogie fondée sur deux versets</w:t>
            </w:r>
          </w:p>
        </w:tc>
      </w:tr>
      <w:tr w:rsidR="007769B2" w:rsidRPr="001C2FED" w:rsidTr="007769B2">
        <w:tc>
          <w:tcPr>
            <w:tcW w:w="6197" w:type="dxa"/>
            <w:tcBorders>
              <w:top w:val="double" w:sz="4" w:space="0" w:color="auto"/>
              <w:bottom w:val="nil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ll'k.W jr"p.miW</w:t>
            </w:r>
            <w:r>
              <w:rPr>
                <w:rFonts w:ascii="Bwhebl" w:hAnsi="Bwhebl" w:cs="Arial"/>
                <w:sz w:val="32"/>
                <w:szCs w:val="32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</w:rPr>
              <w:t>Ãjr"p.W ll'K.mi</w:t>
            </w:r>
          </w:p>
        </w:tc>
        <w:tc>
          <w:tcPr>
            <w:tcW w:w="397" w:type="dxa"/>
            <w:tcBorders>
              <w:top w:val="double" w:sz="4" w:space="0" w:color="auto"/>
              <w:bottom w:val="nil"/>
            </w:tcBorders>
            <w:vAlign w:val="center"/>
          </w:tcPr>
          <w:p w:rsidR="007769B2" w:rsidRPr="001C2FED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0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"Klal û-phra</w:t>
            </w:r>
            <w:r w:rsidRPr="00BE2EBB">
              <w:rPr>
                <w:rFonts w:ascii="TIMES NRBIS" w:hAnsi="TIMES NRBIS" w:cs="Arial"/>
                <w:b/>
                <w:bCs/>
                <w:sz w:val="20"/>
                <w:szCs w:val="20"/>
              </w:rPr>
              <w:t>ª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t"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 xml:space="preserve">de la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règle générale </w:t>
            </w:r>
            <w:r>
              <w:rPr>
                <w:rFonts w:ascii="Arial" w:hAnsi="Arial" w:cs="Arial"/>
                <w:sz w:val="20"/>
                <w:szCs w:val="20"/>
              </w:rPr>
              <w:t>au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cas particulier</w:t>
            </w:r>
            <w:r>
              <w:rPr>
                <w:rFonts w:ascii="Arial" w:hAnsi="Arial" w:cs="Arial"/>
                <w:sz w:val="20"/>
                <w:szCs w:val="20"/>
              </w:rPr>
              <w:t xml:space="preserve"> / du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cas particulier </w:t>
            </w:r>
            <w:r>
              <w:rPr>
                <w:rFonts w:ascii="Arial" w:hAnsi="Arial" w:cs="Arial"/>
                <w:sz w:val="20"/>
                <w:szCs w:val="20"/>
              </w:rPr>
              <w:t>à la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règle générale</w:t>
            </w:r>
          </w:p>
        </w:tc>
      </w:tr>
      <w:tr w:rsidR="00757288" w:rsidRPr="004E0612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Ãll'k.W jr"p.W ll'K.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137152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règle générale et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cas particulier et règle générale </w:t>
            </w:r>
          </w:p>
        </w:tc>
      </w:tr>
      <w:tr w:rsidR="00757288" w:rsidRPr="00137152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jr"P.h; !y[ek. aL'a, !d" hT'a; yai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137152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et la règle s'applique à tous les cas qui ressemblent à l'exemple cité</w:t>
            </w:r>
          </w:p>
        </w:tc>
      </w:tr>
      <w:tr w:rsidR="00757288" w:rsidRPr="00B50208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Ãjr"p.li %yrIc' aWhv, ll'k.mi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5020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règle générale qui nécessite de spécifier (particulariser)</w:t>
            </w:r>
          </w:p>
        </w:tc>
      </w:tr>
      <w:tr w:rsidR="00757288" w:rsidRPr="00B50208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ll'k.li %yrIc' aWhv, jr"p.miW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5020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et cas particulier (spécifié) qui nécessite de généraliser</w:t>
            </w:r>
          </w:p>
        </w:tc>
      </w:tr>
      <w:tr w:rsidR="00757288" w:rsidRPr="00B50208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5020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toute chose qui était incluse dans un terme collectif,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57288" w:rsidRPr="00B50208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ÃdMel;l. ll'K.h;-!mi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9D54BE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mais a été explicitement mentionnée pour livrer un enseignement,</w:t>
            </w:r>
          </w:p>
        </w:tc>
      </w:tr>
      <w:tr w:rsidR="00757288" w:rsidRPr="006D735A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Ãac"y" Wmc.[;-l[; dMel;l. alo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6D735A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ne donne pas cet enseignement à son propos seulement,</w:t>
            </w:r>
          </w:p>
        </w:tc>
      </w:tr>
      <w:tr w:rsidR="00757288" w:rsidRPr="006D735A" w:rsidTr="00BF4684">
        <w:tc>
          <w:tcPr>
            <w:tcW w:w="6197" w:type="dxa"/>
            <w:tcBorders>
              <w:top w:val="nil"/>
              <w:bottom w:val="single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ac'y" ALKu ll'K;h;-l[; dMel;l. aL'a,</w:t>
            </w:r>
          </w:p>
        </w:tc>
        <w:tc>
          <w:tcPr>
            <w:tcW w:w="397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6D735A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single" w:sz="4" w:space="0" w:color="auto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mais concerne le principe général tout entier.</w:t>
            </w:r>
          </w:p>
        </w:tc>
      </w:tr>
      <w:tr w:rsidR="00757288" w:rsidRPr="006D735A" w:rsidTr="00BF4684">
        <w:tc>
          <w:tcPr>
            <w:tcW w:w="6197" w:type="dxa"/>
            <w:tcBorders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</w:tc>
        <w:tc>
          <w:tcPr>
            <w:tcW w:w="397" w:type="dxa"/>
            <w:tcBorders>
              <w:bottom w:val="nil"/>
            </w:tcBorders>
            <w:vAlign w:val="center"/>
          </w:tcPr>
          <w:p w:rsidR="00757288" w:rsidRPr="00757288" w:rsidRDefault="00757288" w:rsidP="00757288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7288">
              <w:rPr>
                <w:rFonts w:ascii="Arial" w:hAnsi="Arial" w:cs="Arial"/>
                <w:sz w:val="24"/>
                <w:szCs w:val="24"/>
              </w:rPr>
              <w:t>(</w:t>
            </w:r>
            <w:r w:rsidRPr="00757288">
              <w:rPr>
                <w:rFonts w:ascii="Arial" w:hAnsi="Arial" w:cs="Arial"/>
                <w:sz w:val="24"/>
                <w:szCs w:val="24"/>
                <w:rtl/>
              </w:rPr>
              <w:t>ב</w:t>
            </w:r>
            <w:r w:rsidRPr="0075728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60" w:type="dxa"/>
            <w:tcBorders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</w:tc>
      </w:tr>
      <w:tr w:rsidR="00757288" w:rsidRPr="009D54BE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ÃAny"n&gt;[ik. aWhv, dx'a, ![,jo) !A[j.li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9D54BE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ind w:left="568" w:hanging="284"/>
              <w:rPr>
                <w:rFonts w:ascii="Arial" w:hAnsi="Arial" w:cs="Arial"/>
                <w:sz w:val="20"/>
                <w:szCs w:val="20"/>
              </w:rPr>
            </w:pPr>
            <w:r w:rsidRPr="00BF4684">
              <w:rPr>
                <w:rFonts w:ascii="Arial" w:hAnsi="Arial" w:cs="Arial"/>
                <w:spacing w:val="-4"/>
                <w:sz w:val="20"/>
                <w:szCs w:val="20"/>
              </w:rPr>
              <w:t>mais a été énoncée explicitement pour parler d'une disposition semblable à celles qui s'appliquent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au cas général (litt. "comme à son sujet"),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rymix]h;l. alow&gt; lqeh'l. ac'y"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655E3C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vient pour alléger, et non pour aggraver.</w:t>
            </w:r>
          </w:p>
        </w:tc>
      </w:tr>
      <w:tr w:rsidR="00757288" w:rsidRPr="004E0612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Ãll'k.Bi hy"h'v, rb'D"-lK'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655E3C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ÃAny"n&gt;[ik. aLov, rxea; ![,jo) !A[j.li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655E3C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ind w:left="568" w:hanging="28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7769B2" w:rsidRDefault="00757288" w:rsidP="007769B2">
            <w:pPr>
              <w:spacing w:after="0" w:line="240" w:lineRule="auto"/>
              <w:ind w:left="568" w:right="-57" w:hanging="284"/>
              <w:jc w:val="both"/>
              <w:rPr>
                <w:rFonts w:ascii="Arial" w:hAnsi="Arial" w:cs="Arial"/>
                <w:spacing w:val="-4"/>
                <w:sz w:val="20"/>
                <w:szCs w:val="20"/>
                <w:lang w:val="en-US"/>
              </w:rPr>
            </w:pPr>
            <w:r w:rsidRPr="007769B2">
              <w:rPr>
                <w:rFonts w:ascii="Arial" w:hAnsi="Arial" w:cs="Arial"/>
                <w:spacing w:val="-4"/>
                <w:sz w:val="20"/>
                <w:szCs w:val="20"/>
              </w:rPr>
              <w:t xml:space="preserve">mais a été mentionnée explicitement avec une disposition différente de celles du </w:t>
            </w:r>
            <w:r w:rsidR="007769B2" w:rsidRPr="007769B2">
              <w:rPr>
                <w:rFonts w:ascii="Arial" w:hAnsi="Arial" w:cs="Arial"/>
                <w:spacing w:val="-4"/>
                <w:sz w:val="20"/>
                <w:szCs w:val="20"/>
              </w:rPr>
              <w:t>principe général</w:t>
            </w:r>
            <w:r w:rsidRPr="007769B2">
              <w:rPr>
                <w:rFonts w:ascii="Arial" w:hAnsi="Arial" w:cs="Arial"/>
                <w:spacing w:val="-4"/>
                <w:sz w:val="20"/>
                <w:szCs w:val="20"/>
              </w:rPr>
              <w:t>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rymix]h;l.W lqeh'l. ac'y"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3242E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vient pour alléger, et pour aggraver.</w:t>
            </w:r>
          </w:p>
        </w:tc>
      </w:tr>
      <w:tr w:rsidR="00757288" w:rsidRPr="004E0612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Ãll'k.Bi hy"h'v, rb'D"-lK'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3242E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lastRenderedPageBreak/>
              <w:t>Ãvd"x'h, rb'D"B; !ADli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3242E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mais a été énoncée explicitement pour parler d'un cas nouveau,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ÃAll'k.li AryzIx]h;l. lAky" hT'a; yai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E36DA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tu ne peux la réintégrer dans le principe général,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double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u w:val="words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vWrpeB. All'k.li bWtK'h; WNr&lt;)yzIx]x;Y:v, d[;</w:t>
            </w:r>
          </w:p>
        </w:tc>
        <w:tc>
          <w:tcPr>
            <w:tcW w:w="397" w:type="dxa"/>
            <w:tcBorders>
              <w:top w:val="nil"/>
              <w:bottom w:val="double" w:sz="4" w:space="0" w:color="auto"/>
            </w:tcBorders>
            <w:vAlign w:val="center"/>
          </w:tcPr>
          <w:p w:rsidR="00757288" w:rsidRPr="00E36DA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double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ouble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jusqu'à ce que le verset la réintègre explicitement.</w:t>
            </w:r>
          </w:p>
        </w:tc>
      </w:tr>
      <w:tr w:rsidR="007769B2" w:rsidRPr="004E0612" w:rsidTr="007769B2">
        <w:tc>
          <w:tcPr>
            <w:tcW w:w="6197" w:type="dxa"/>
            <w:tcBorders>
              <w:top w:val="double" w:sz="4" w:space="0" w:color="auto"/>
              <w:bottom w:val="nil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ÃWny"n&gt;[ime dmeL'h; rb'D"</w:t>
            </w:r>
          </w:p>
        </w:tc>
        <w:tc>
          <w:tcPr>
            <w:tcW w:w="397" w:type="dxa"/>
            <w:tcBorders>
              <w:top w:val="double" w:sz="4" w:space="0" w:color="auto"/>
              <w:bottom w:val="nil"/>
            </w:tcBorders>
            <w:vAlign w:val="center"/>
          </w:tcPr>
          <w:p w:rsidR="007769B2" w:rsidRPr="00E36DA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"Davar ha-Llaméd mé-</w:t>
            </w:r>
            <w:r w:rsidRPr="00BE2EBB">
              <w:rPr>
                <w:rFonts w:ascii="TIMES NRBIS" w:hAnsi="TIMES NRBIS" w:cs="Arial"/>
                <w:b/>
                <w:bCs/>
                <w:sz w:val="18"/>
                <w:szCs w:val="18"/>
              </w:rPr>
              <w:t>²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Inyanô"</w:t>
            </w:r>
            <w:r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une loi qui est apprise de son contexte </w:t>
            </w:r>
          </w:p>
        </w:tc>
      </w:tr>
      <w:tr w:rsidR="00757288" w:rsidRPr="00E36DAB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WpWSmi dmeL'h; rb'd"w&gt;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E36DA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et une loi qui est apprise de sa fin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Ãhz&lt;-ta&lt; hz, ~yviytik.m;h; ~ybiWtk. ynEv. !kew&gt;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0D0FE0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deux versets qui se contredisent l'un l'autre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single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u w:val="words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`</w:t>
            </w:r>
            <w:r>
              <w:rPr>
                <w:rFonts w:ascii="Bwhebl" w:hAnsi="Bwhebl" w:cs="Arial"/>
                <w:sz w:val="32"/>
                <w:szCs w:val="32"/>
                <w:lang w:val="en-US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~h,ynEyBe [;yrI)k.y:w&gt;</w:t>
            </w:r>
            <w:r>
              <w:rPr>
                <w:rFonts w:ascii="Bwhebl" w:hAnsi="Bwhebl" w:cs="Arial"/>
                <w:sz w:val="32"/>
                <w:szCs w:val="32"/>
                <w:lang w:val="en-US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ÃyviyliV.h; bWtK'h; aAbY"v, d[;</w:t>
            </w:r>
          </w:p>
        </w:tc>
        <w:tc>
          <w:tcPr>
            <w:tcW w:w="397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0D0FE0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single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BE2EBB" w:rsidRDefault="00C56BA9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lang w:val="en-US" w:bidi="ar-S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244.4pt;margin-top:6.15pt;width:179.45pt;height:30.3pt;z-index:251660288;mso-height-percent:200;mso-position-horizontal-relative:text;mso-position-vertical-relative:text;mso-height-percent:200;mso-width-relative:margin;mso-height-relative:margin;v-text-anchor:middle" fillcolor="yellow">
                  <v:textbox style="mso-fit-shape-to-text:t" inset=".5mm,.3mm,.5mm,.3mm">
                    <w:txbxContent>
                      <w:p w:rsidR="00BF4684" w:rsidRPr="00BF4684" w:rsidRDefault="00BF4684" w:rsidP="00BF4684">
                        <w:pPr>
                          <w:spacing w:after="0" w:line="240" w:lineRule="auto"/>
                          <w:jc w:val="center"/>
                          <w:rPr>
                            <w:rFonts w:ascii="Comic Sans MS" w:hAnsi="Comic Sans MS"/>
                            <w:sz w:val="20"/>
                            <w:szCs w:val="20"/>
                          </w:rPr>
                        </w:pPr>
                        <w:r w:rsidRPr="00BF4684">
                          <w:rPr>
                            <w:rFonts w:ascii="Comic Sans MS" w:hAnsi="Comic Sans MS"/>
                            <w:sz w:val="20"/>
                            <w:szCs w:val="20"/>
                          </w:rPr>
                          <w:t>En page 2 : synopse des 13 règles d'Ishmaél et des 7 règles de Hillél</w:t>
                        </w:r>
                      </w:p>
                    </w:txbxContent>
                  </v:textbox>
                </v:shape>
              </w:pict>
            </w:r>
            <w:r w:rsidR="00757288">
              <w:rPr>
                <w:rFonts w:ascii="Arial" w:hAnsi="Arial" w:cs="Arial"/>
                <w:sz w:val="20"/>
                <w:szCs w:val="20"/>
              </w:rPr>
              <w:tab/>
            </w:r>
            <w:r w:rsidR="00757288" w:rsidRPr="00BE2EBB">
              <w:rPr>
                <w:rFonts w:ascii="Arial" w:hAnsi="Arial" w:cs="Arial"/>
                <w:sz w:val="20"/>
                <w:szCs w:val="20"/>
              </w:rPr>
              <w:t>nécessitent l'arbitrage  par un troisième verset</w:t>
            </w:r>
            <w:r w:rsidR="0075728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A56473" w:rsidRDefault="00A56473">
      <w:pPr>
        <w:spacing w:after="0" w:line="240" w:lineRule="auto"/>
        <w:rPr>
          <w:rFonts w:ascii="Arial" w:hAnsi="Arial" w:cs="Arial"/>
          <w:sz w:val="10"/>
          <w:szCs w:val="10"/>
          <w:lang w:val="en-US"/>
        </w:rPr>
      </w:pPr>
      <w:r>
        <w:rPr>
          <w:rFonts w:ascii="Arial" w:hAnsi="Arial" w:cs="Arial"/>
          <w:sz w:val="10"/>
          <w:szCs w:val="10"/>
          <w:lang w:val="en-US"/>
        </w:rPr>
        <w:br w:type="page"/>
      </w:r>
    </w:p>
    <w:p w:rsidR="00A56473" w:rsidRPr="00F60864" w:rsidRDefault="00A56473" w:rsidP="00A56473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Grilledutableau"/>
        <w:tblW w:w="1573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95"/>
        <w:gridCol w:w="7485"/>
        <w:gridCol w:w="426"/>
        <w:gridCol w:w="6520"/>
        <w:gridCol w:w="709"/>
      </w:tblGrid>
      <w:tr w:rsidR="00A56473" w:rsidRPr="00AD0E82" w:rsidTr="00916472">
        <w:tc>
          <w:tcPr>
            <w:tcW w:w="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56473" w:rsidRDefault="00A56473" w:rsidP="00916472">
            <w:pPr>
              <w:spacing w:before="40" w:after="4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 =</w:t>
            </w:r>
          </w:p>
        </w:tc>
        <w:tc>
          <w:tcPr>
            <w:tcW w:w="74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56473" w:rsidRPr="00BF4684" w:rsidRDefault="00A56473" w:rsidP="00916472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Hill</w:t>
            </w:r>
            <w:r w:rsidR="00BF4684"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é</w:t>
            </w:r>
            <w:r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l</w:t>
            </w:r>
            <w:r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: les 7 règles selon Hillel</w:t>
            </w:r>
            <w:r w:rsidR="00BF4684"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(H1 à H7)</w:t>
            </w:r>
          </w:p>
        </w:tc>
        <w:tc>
          <w:tcPr>
            <w:tcW w:w="426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A56473" w:rsidRDefault="00A56473" w:rsidP="00916472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A56473" w:rsidRPr="00BF4684" w:rsidRDefault="00A56473" w:rsidP="00916472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Yishmaél</w:t>
            </w:r>
            <w:r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: les 13 règles selon Yishmaél</w:t>
            </w:r>
            <w:r w:rsidR="00BF4684"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(Y1 à Y13)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6473" w:rsidRPr="00AD0E82" w:rsidRDefault="00A56473" w:rsidP="00916472">
            <w:pPr>
              <w:spacing w:before="40" w:after="4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Y</w:t>
            </w:r>
          </w:p>
        </w:tc>
      </w:tr>
      <w:tr w:rsidR="00A56473" w:rsidRPr="00AD0E82" w:rsidTr="00916472">
        <w:tc>
          <w:tcPr>
            <w:tcW w:w="595" w:type="dxa"/>
            <w:tcBorders>
              <w:top w:val="single" w:sz="12" w:space="0" w:color="auto"/>
              <w:left w:val="nil"/>
              <w:bottom w:val="double" w:sz="6" w:space="0" w:color="auto"/>
            </w:tcBorders>
          </w:tcPr>
          <w:p w:rsidR="00A56473" w:rsidRDefault="00C56BA9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2"/>
                <w:szCs w:val="12"/>
                <w:lang w:eastAsia="fr-FR"/>
              </w:rPr>
              <w:pict>
                <v:shapetype id="_x0000_t90" coordsize="21600,21600" o:spt="90" adj="9257,18514,7200" path="m@4,l@0@2@5@2@5@12,0@12,,21600@1,21600@1@2,21600@2xe">
                  <v:stroke joinstyle="miter"/>
                  <v:formulas>
                    <v:f eqn="val #0"/>
                    <v:f eqn="val #1"/>
                    <v:f eqn="val #2"/>
                    <v:f eqn="prod #0 1 2"/>
                    <v:f eqn="sum @3 10800 0"/>
                    <v:f eqn="sum 21600 #0 #1"/>
                    <v:f eqn="sum #1 #2 0"/>
                    <v:f eqn="prod @6 1 2"/>
                    <v:f eqn="prod #1 2 1"/>
                    <v:f eqn="sum @8 0 21600"/>
                    <v:f eqn="prod 21600 @0 @1"/>
                    <v:f eqn="prod 21600 @4 @1"/>
                    <v:f eqn="prod 21600 @5 @1"/>
                    <v:f eqn="prod 21600 @7 @1"/>
                    <v:f eqn="prod #1 1 2"/>
                    <v:f eqn="sum @5 0 @4"/>
                    <v:f eqn="sum @0 0 @4"/>
                    <v:f eqn="prod @2 @15 @16"/>
                  </v:formulas>
                  <v:path o:connecttype="custom" o:connectlocs="@4,0;@0,@2;0,@11;@14,21600;@1,@13;21600,@2" o:connectangles="270,180,180,90,0,0" textboxrect="0,@12,@1,21600;@5,@17,@1,21600"/>
                  <v:handles>
                    <v:h position="#0,topLeft" xrange="@2,@9"/>
                    <v:h position="#1,#2" xrange="@4,21600" yrange="0,@0"/>
                  </v:handles>
                </v:shapetype>
                <v:shape id="_x0000_s1028" type="#_x0000_t90" style="position:absolute;margin-left:-.65pt;margin-top:6.9pt;width:35.45pt;height:6.6pt;rotation:180;z-index:251661312;mso-position-horizontal-relative:text;mso-position-vertical-relative:text" adj="7684" fillcolor="yellow">
                  <v:fill color2="fill darken(118)" rotate="t" method="linear sigma" focus="100%" type="gradient"/>
                </v:shape>
              </w:pict>
            </w:r>
          </w:p>
        </w:tc>
        <w:tc>
          <w:tcPr>
            <w:tcW w:w="7485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:rsidR="00A56473" w:rsidRPr="00F60864" w:rsidRDefault="00916472" w:rsidP="0091647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Correspondance des 7 règles de Hillel avec les 13 de Yishmaél</w:t>
            </w:r>
          </w:p>
        </w:tc>
        <w:tc>
          <w:tcPr>
            <w:tcW w:w="426" w:type="dxa"/>
            <w:tcBorders>
              <w:top w:val="single" w:sz="12" w:space="0" w:color="auto"/>
              <w:bottom w:val="double" w:sz="6" w:space="0" w:color="auto"/>
              <w:right w:val="nil"/>
            </w:tcBorders>
          </w:tcPr>
          <w:p w:rsidR="00A56473" w:rsidRDefault="00A56473" w:rsidP="00BA69F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12" w:space="0" w:color="auto"/>
              <w:left w:val="nil"/>
              <w:bottom w:val="double" w:sz="6" w:space="0" w:color="auto"/>
            </w:tcBorders>
          </w:tcPr>
          <w:p w:rsidR="00A56473" w:rsidRPr="00F60864" w:rsidRDefault="00A56473" w:rsidP="00BA69F3">
            <w:pPr>
              <w:spacing w:after="0" w:line="240" w:lineRule="auto"/>
              <w:rPr>
                <w:rFonts w:ascii="Bwhebl" w:hAnsi="Bwhebl" w:cs="Arial"/>
                <w:sz w:val="28"/>
                <w:szCs w:val="28"/>
              </w:rPr>
            </w:pPr>
            <w:r w:rsidRPr="00F60864">
              <w:rPr>
                <w:rFonts w:ascii="Bwhebl" w:hAnsi="Bwhebl" w:cs="Arial"/>
                <w:sz w:val="28"/>
                <w:szCs w:val="28"/>
              </w:rPr>
              <w:t>` tv,r"ïd&gt;nI hr"ATh; tADmi hrEf.[e vlov.Bi</w:t>
            </w:r>
            <w:r w:rsidRPr="00F60864">
              <w:rPr>
                <w:rFonts w:ascii="Bwhebl" w:hAnsi="Bwhebl" w:cs="Arial"/>
                <w:b/>
                <w:bCs/>
                <w:sz w:val="28"/>
                <w:szCs w:val="28"/>
              </w:rPr>
              <w:t xml:space="preserve"> Å</w:t>
            </w:r>
            <w:r w:rsidRPr="00F60864">
              <w:rPr>
                <w:rFonts w:ascii="Bwhebl" w:hAnsi="Bwhebl" w:cs="Arial"/>
                <w:sz w:val="28"/>
                <w:szCs w:val="28"/>
              </w:rPr>
              <w:t>rmeAa la[em'v.yI yBir:</w:t>
            </w:r>
          </w:p>
        </w:tc>
        <w:tc>
          <w:tcPr>
            <w:tcW w:w="709" w:type="dxa"/>
            <w:tcBorders>
              <w:top w:val="single" w:sz="12" w:space="0" w:color="auto"/>
              <w:bottom w:val="double" w:sz="6" w:space="0" w:color="auto"/>
              <w:right w:val="nil"/>
            </w:tcBorders>
          </w:tcPr>
          <w:p w:rsidR="00A56473" w:rsidRPr="00AD0E82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6473" w:rsidRPr="00C04910" w:rsidTr="00BA69F3">
        <w:tc>
          <w:tcPr>
            <w:tcW w:w="595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:rsidR="00A56473" w:rsidRPr="00C0491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H1</w:t>
            </w:r>
          </w:p>
        </w:tc>
        <w:tc>
          <w:tcPr>
            <w:tcW w:w="7485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déduction par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E26DF">
              <w:rPr>
                <w:rFonts w:ascii="Arial" w:hAnsi="Arial" w:cs="Arial"/>
                <w:i/>
                <w:iCs/>
                <w:sz w:val="20"/>
                <w:szCs w:val="20"/>
              </w:rPr>
              <w:t>a fortiori</w:t>
            </w:r>
          </w:p>
        </w:tc>
        <w:tc>
          <w:tcPr>
            <w:tcW w:w="426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:rsidR="00A56473" w:rsidRPr="00570681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Ãrmexo)w" lQ;mi</w:t>
            </w:r>
          </w:p>
        </w:tc>
        <w:tc>
          <w:tcPr>
            <w:tcW w:w="709" w:type="dxa"/>
            <w:tcBorders>
              <w:top w:val="double" w:sz="6" w:space="0" w:color="auto"/>
              <w:bottom w:val="single" w:sz="4" w:space="0" w:color="auto"/>
            </w:tcBorders>
          </w:tcPr>
          <w:p w:rsidR="00A56473" w:rsidRPr="00C04910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</w:t>
            </w:r>
          </w:p>
        </w:tc>
      </w:tr>
      <w:tr w:rsidR="00A56473" w:rsidRPr="006419F3" w:rsidTr="00BA69F3"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6473" w:rsidRPr="00C0491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H2</w:t>
            </w:r>
          </w:p>
        </w:tc>
        <w:tc>
          <w:tcPr>
            <w:tcW w:w="74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analogie à partir de l'identité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des termes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hw"v' hr"zEG&gt;miW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56473" w:rsidRPr="00C04910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Y2</w:t>
            </w:r>
          </w:p>
        </w:tc>
      </w:tr>
      <w:tr w:rsidR="00A56473" w:rsidRPr="006419F3" w:rsidTr="00BA69F3">
        <w:tc>
          <w:tcPr>
            <w:tcW w:w="595" w:type="dxa"/>
            <w:tcBorders>
              <w:bottom w:val="dashed" w:sz="4" w:space="0" w:color="auto"/>
            </w:tcBorders>
            <w:vAlign w:val="center"/>
          </w:tcPr>
          <w:p w:rsidR="00A56473" w:rsidRPr="00C0491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H3</w:t>
            </w:r>
          </w:p>
        </w:tc>
        <w:tc>
          <w:tcPr>
            <w:tcW w:w="7485" w:type="dxa"/>
            <w:tcBorders>
              <w:bottom w:val="dashed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>analogie sur la base d'un verset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Pr="0039185D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>
              <w:rPr>
                <w:rFonts w:ascii="Bwhebl" w:hAnsi="Bwhebl" w:cs="Arial"/>
                <w:sz w:val="32"/>
                <w:szCs w:val="32"/>
              </w:rPr>
              <w:t>Ãdx'a,</w:t>
            </w:r>
            <w:r w:rsidRPr="0039185D">
              <w:rPr>
                <w:rFonts w:ascii="Bwhebl" w:hAnsi="Bwhebl" w:cs="Arial"/>
                <w:sz w:val="32"/>
                <w:szCs w:val="32"/>
              </w:rPr>
              <w:t xml:space="preserve"> bWtK'mi ba' !y"n&gt;Bimi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9D54BE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Y3</w:t>
            </w:r>
          </w:p>
        </w:tc>
      </w:tr>
      <w:tr w:rsidR="00A56473" w:rsidRPr="006419F3" w:rsidTr="00BA69F3">
        <w:tc>
          <w:tcPr>
            <w:tcW w:w="595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56473" w:rsidRPr="009D54BE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H4</w:t>
            </w:r>
          </w:p>
        </w:tc>
        <w:tc>
          <w:tcPr>
            <w:tcW w:w="7485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analogie fondée sur deux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versets</w:t>
            </w:r>
          </w:p>
        </w:tc>
        <w:tc>
          <w:tcPr>
            <w:tcW w:w="426" w:type="dxa"/>
            <w:tcBorders>
              <w:top w:val="nil"/>
              <w:bottom w:val="single" w:sz="4" w:space="0" w:color="auto"/>
              <w:right w:val="nil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39185D">
              <w:rPr>
                <w:rFonts w:ascii="Bwhebl" w:hAnsi="Bwhebl" w:cs="Arial"/>
                <w:sz w:val="32"/>
                <w:szCs w:val="32"/>
              </w:rPr>
              <w:t>~ybiWtk. ynEvV.mi ba' !y"n&gt;BimiW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6473" w:rsidRPr="006419F3" w:rsidTr="00BA69F3">
        <w:tc>
          <w:tcPr>
            <w:tcW w:w="595" w:type="dxa"/>
            <w:tcBorders>
              <w:bottom w:val="nil"/>
            </w:tcBorders>
            <w:vAlign w:val="center"/>
          </w:tcPr>
          <w:p w:rsidR="00A56473" w:rsidRPr="0039185D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H5</w:t>
            </w:r>
          </w:p>
        </w:tc>
        <w:tc>
          <w:tcPr>
            <w:tcW w:w="7485" w:type="dxa"/>
            <w:tcBorders>
              <w:bottom w:val="dashed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règle générale et cas particulier </w:t>
            </w:r>
            <w:r w:rsidRPr="005C1560">
              <w:rPr>
                <w:rFonts w:ascii="Arial" w:hAnsi="Arial" w:cs="Arial"/>
                <w:sz w:val="20"/>
                <w:szCs w:val="20"/>
              </w:rPr>
              <w:sym w:font="Symbol" w:char="F0AE"/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la règle ne s'applique qu'au cas particulier</w:t>
            </w:r>
          </w:p>
        </w:tc>
        <w:tc>
          <w:tcPr>
            <w:tcW w:w="426" w:type="dxa"/>
            <w:tcBorders>
              <w:bottom w:val="dashed" w:sz="4" w:space="0" w:color="auto"/>
              <w:right w:val="nil"/>
            </w:tcBorders>
          </w:tcPr>
          <w:p w:rsidR="00A56473" w:rsidRPr="000552A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dashed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sz w:val="32"/>
                <w:szCs w:val="32"/>
              </w:rPr>
              <w:t>Ãjr"p.W ll'K.mi</w:t>
            </w:r>
          </w:p>
        </w:tc>
        <w:tc>
          <w:tcPr>
            <w:tcW w:w="709" w:type="dxa"/>
            <w:tcBorders>
              <w:bottom w:val="dashed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Y4</w:t>
            </w:r>
          </w:p>
        </w:tc>
      </w:tr>
      <w:tr w:rsidR="00A56473" w:rsidRPr="006419F3" w:rsidTr="00BA69F3">
        <w:tc>
          <w:tcPr>
            <w:tcW w:w="595" w:type="dxa"/>
            <w:tcBorders>
              <w:top w:val="nil"/>
              <w:bottom w:val="single" w:sz="4" w:space="0" w:color="auto"/>
            </w:tcBorders>
            <w:vAlign w:val="center"/>
          </w:tcPr>
          <w:p w:rsidR="00A56473" w:rsidRPr="006419F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H5</w:t>
            </w:r>
          </w:p>
        </w:tc>
        <w:tc>
          <w:tcPr>
            <w:tcW w:w="7485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cas particulier et règle générale </w:t>
            </w:r>
            <w:r w:rsidRPr="005C1560">
              <w:rPr>
                <w:rFonts w:ascii="Arial" w:hAnsi="Arial" w:cs="Arial"/>
                <w:sz w:val="20"/>
                <w:szCs w:val="20"/>
              </w:rPr>
              <w:sym w:font="Symbol" w:char="F0AE"/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la règle s'applique à tous les cas</w:t>
            </w:r>
          </w:p>
        </w:tc>
        <w:tc>
          <w:tcPr>
            <w:tcW w:w="426" w:type="dxa"/>
            <w:tcBorders>
              <w:top w:val="dashed" w:sz="4" w:space="0" w:color="auto"/>
              <w:bottom w:val="single" w:sz="4" w:space="0" w:color="auto"/>
              <w:right w:val="nil"/>
            </w:tcBorders>
          </w:tcPr>
          <w:p w:rsidR="00A56473" w:rsidRPr="000552A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dashed" w:sz="4" w:space="0" w:color="auto"/>
              <w:left w:val="nil"/>
              <w:bottom w:val="single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39185D">
              <w:rPr>
                <w:rFonts w:ascii="Bwhebl" w:hAnsi="Bwhebl" w:cs="Arial"/>
                <w:sz w:val="32"/>
                <w:szCs w:val="32"/>
              </w:rPr>
              <w:t>ll'k.W jr"p.miW</w:t>
            </w:r>
          </w:p>
        </w:tc>
        <w:tc>
          <w:tcPr>
            <w:tcW w:w="709" w:type="dxa"/>
            <w:tcBorders>
              <w:top w:val="dashed" w:sz="4" w:space="0" w:color="auto"/>
              <w:bottom w:val="single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Y5</w:t>
            </w:r>
          </w:p>
        </w:tc>
      </w:tr>
      <w:tr w:rsidR="00A56473" w:rsidRPr="00AD0E82" w:rsidTr="00BA69F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:rsidR="00A56473" w:rsidRPr="006419F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H6</w:t>
            </w:r>
          </w:p>
        </w:tc>
        <w:tc>
          <w:tcPr>
            <w:tcW w:w="7485" w:type="dxa"/>
            <w:tcBorders>
              <w:bottom w:val="single" w:sz="4" w:space="0" w:color="auto"/>
              <w:right w:val="nil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Bwhebl" w:hAnsi="Bwhebl" w:cs="Arial"/>
                <w:sz w:val="32"/>
                <w:szCs w:val="32"/>
              </w:rPr>
              <w:t>rxea; ~WqM'mi AB aceAYK</w:t>
            </w:r>
            <w:r w:rsidRPr="005C1560">
              <w:rPr>
                <w:rFonts w:ascii="Bwhebl" w:hAnsi="Bwhebl" w:cs="Arial"/>
                <w:sz w:val="32"/>
                <w:szCs w:val="32"/>
              </w:rPr>
              <w:t xml:space="preserve">; 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= qui est similaire dans un autre contexte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bottom w:val="nil"/>
            </w:tcBorders>
            <w:vAlign w:val="center"/>
          </w:tcPr>
          <w:p w:rsidR="00A56473" w:rsidRPr="00AD0E82" w:rsidRDefault="00A56473" w:rsidP="00BA69F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52A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AD0E82">
              <w:rPr>
                <w:rFonts w:ascii="Arial" w:hAnsi="Arial" w:cs="Arial"/>
                <w:sz w:val="20"/>
                <w:szCs w:val="20"/>
              </w:rPr>
              <w:t xml:space="preserve"> [règle dont le </w:t>
            </w:r>
            <w:r w:rsidRPr="00570681">
              <w:rPr>
                <w:rFonts w:ascii="Bwhebl" w:hAnsi="Bwhebl" w:cs="Arial"/>
                <w:sz w:val="32"/>
                <w:szCs w:val="32"/>
              </w:rPr>
              <w:t>ba' !y"n&gt;Bi</w:t>
            </w:r>
            <w:r>
              <w:rPr>
                <w:rFonts w:ascii="Arial" w:hAnsi="Arial" w:cs="Arial"/>
                <w:sz w:val="20"/>
                <w:szCs w:val="20"/>
              </w:rPr>
              <w:t xml:space="preserve"> est 1 application]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:rsidR="00A56473" w:rsidRPr="00AD0E82" w:rsidRDefault="00A56473" w:rsidP="00BA69F3">
            <w:pPr>
              <w:spacing w:after="0" w:line="240" w:lineRule="auto"/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sym w:font="Symbol" w:char="F0C6"/>
            </w:r>
          </w:p>
        </w:tc>
      </w:tr>
      <w:tr w:rsidR="00A56473" w:rsidRPr="006419F3" w:rsidTr="00BA69F3">
        <w:tc>
          <w:tcPr>
            <w:tcW w:w="595" w:type="dxa"/>
            <w:tcBorders>
              <w:bottom w:val="dotted" w:sz="6" w:space="0" w:color="auto"/>
            </w:tcBorders>
            <w:vAlign w:val="center"/>
          </w:tcPr>
          <w:p w:rsidR="00A56473" w:rsidRPr="00AD0E8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5" w:type="dxa"/>
            <w:tcBorders>
              <w:top w:val="single" w:sz="4" w:space="0" w:color="auto"/>
              <w:bottom w:val="nil"/>
            </w:tcBorders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règle générale, cas particulier </w:t>
            </w:r>
          </w:p>
          <w:p w:rsidR="00A56473" w:rsidRPr="005C1560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sym w:font="Symbol" w:char="F0AE"/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et la règle s'applique à tous les cas qui ressemblent à l'exemple cité</w:t>
            </w:r>
          </w:p>
        </w:tc>
        <w:tc>
          <w:tcPr>
            <w:tcW w:w="426" w:type="dxa"/>
            <w:tcBorders>
              <w:top w:val="single" w:sz="4" w:space="0" w:color="auto"/>
              <w:bottom w:val="nil"/>
              <w:right w:val="nil"/>
            </w:tcBorders>
          </w:tcPr>
          <w:p w:rsidR="00A56473" w:rsidRPr="00AD0E8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sz w:val="32"/>
                <w:szCs w:val="32"/>
              </w:rPr>
              <w:t>Ãll'k.W jr"p.W ll'K.</w:t>
            </w:r>
          </w:p>
          <w:p w:rsidR="00A56473" w:rsidRPr="0039185D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</w:rPr>
              <w:t>jr"P.h; !y[ek. aL'a, !d" hT'a; yai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137152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Y6</w:t>
            </w:r>
          </w:p>
        </w:tc>
      </w:tr>
      <w:tr w:rsidR="00A56473" w:rsidRPr="00B50208" w:rsidTr="00BA69F3">
        <w:trPr>
          <w:trHeight w:val="627"/>
        </w:trPr>
        <w:tc>
          <w:tcPr>
            <w:tcW w:w="595" w:type="dxa"/>
            <w:tcBorders>
              <w:top w:val="dotted" w:sz="6" w:space="0" w:color="auto"/>
              <w:bottom w:val="nil"/>
            </w:tcBorders>
            <w:vAlign w:val="center"/>
          </w:tcPr>
          <w:p w:rsidR="00A56473" w:rsidRPr="00137152" w:rsidRDefault="00A56473" w:rsidP="00BA69F3">
            <w:pPr>
              <w:spacing w:before="4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</w:t>
            </w:r>
          </w:p>
          <w:p w:rsidR="00A56473" w:rsidRPr="00137152" w:rsidRDefault="00A56473" w:rsidP="00BA69F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H5</w:t>
            </w:r>
          </w:p>
        </w:tc>
        <w:tc>
          <w:tcPr>
            <w:tcW w:w="7485" w:type="dxa"/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règle générale qui nécessite de spécifier (particulariser)</w:t>
            </w:r>
          </w:p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 cas particulier (spécifié) qui nécessite de généraliser</w:t>
            </w:r>
          </w:p>
        </w:tc>
        <w:tc>
          <w:tcPr>
            <w:tcW w:w="426" w:type="dxa"/>
            <w:tcBorders>
              <w:right w:val="nil"/>
            </w:tcBorders>
          </w:tcPr>
          <w:p w:rsidR="00A56473" w:rsidRPr="0013715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Ãjr"p.li %yrIc' aWhv, ll'k.mi</w:t>
            </w:r>
          </w:p>
          <w:p w:rsidR="00A56473" w:rsidRPr="006419F3" w:rsidRDefault="00A56473" w:rsidP="00BA69F3">
            <w:pPr>
              <w:spacing w:after="0" w:line="240" w:lineRule="auto"/>
              <w:ind w:right="318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</w:rPr>
              <w:t>ll'k.li %yrIc' aWhv, jr"p.miW</w:t>
            </w:r>
          </w:p>
        </w:tc>
        <w:tc>
          <w:tcPr>
            <w:tcW w:w="709" w:type="dxa"/>
          </w:tcPr>
          <w:p w:rsidR="00A56473" w:rsidRPr="00B50208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Y7</w:t>
            </w:r>
          </w:p>
        </w:tc>
      </w:tr>
      <w:tr w:rsidR="00A56473" w:rsidRPr="00B50208" w:rsidTr="00BA69F3">
        <w:tc>
          <w:tcPr>
            <w:tcW w:w="595" w:type="dxa"/>
            <w:tcBorders>
              <w:top w:val="nil"/>
              <w:bottom w:val="nil"/>
            </w:tcBorders>
          </w:tcPr>
          <w:p w:rsidR="00A56473" w:rsidRPr="00B50208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toute chose qui était incluse dans un terme collectif,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explicitement mentionnée pour livrer un enseignement,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 donne pas cet enseignement à son propos seulement,</w:t>
            </w:r>
          </w:p>
          <w:p w:rsidR="00A56473" w:rsidRPr="005C1560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concerne le principe général tout entier.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B50208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Default="00A56473" w:rsidP="00BA69F3">
            <w:pPr>
              <w:tabs>
                <w:tab w:val="left" w:pos="5420"/>
              </w:tabs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ÃdMel;l. ll'K.h;-!mi ac'y"w&gt;</w:t>
            </w:r>
          </w:p>
          <w:p w:rsidR="00A5647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Ãac"y" Wmc.[;-l[;dMel;l. alo</w:t>
            </w:r>
          </w:p>
          <w:p w:rsidR="00A56473" w:rsidRPr="006419F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</w:rPr>
              <w:t>ac'y" ALKu ll'K;h;-l[; dMel;l. aL'a,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B50208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Y8</w:t>
            </w:r>
          </w:p>
        </w:tc>
      </w:tr>
      <w:tr w:rsidR="00A56473" w:rsidRPr="006D735A" w:rsidTr="00BA69F3">
        <w:tc>
          <w:tcPr>
            <w:tcW w:w="595" w:type="dxa"/>
            <w:tcBorders>
              <w:top w:val="nil"/>
              <w:bottom w:val="nil"/>
            </w:tcBorders>
          </w:tcPr>
          <w:p w:rsidR="00A56473" w:rsidRPr="006D735A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  <w:p w:rsidR="00A56473" w:rsidRDefault="00A56473" w:rsidP="00BA69F3">
            <w:pPr>
              <w:spacing w:after="0" w:line="240" w:lineRule="auto"/>
              <w:ind w:left="998" w:hanging="56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énoncée explicitement pour parler d'une disposition semblable à celles qui s'appliquent au cas général (litt. "comme à son sujet"),</w:t>
            </w:r>
          </w:p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vient pour alléger, et non pour aggraver.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6D735A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ÃAny"n&gt;[ik. aWhv, dx'a, ![,jo) !A[j.li ac'y"w&gt;</w:t>
            </w:r>
          </w:p>
          <w:p w:rsidR="00A56473" w:rsidRPr="00DE7912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rymix]h;l. alow&gt; lqeh'l. ac'y"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6D735A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Y9</w:t>
            </w:r>
          </w:p>
        </w:tc>
      </w:tr>
      <w:tr w:rsidR="00A56473" w:rsidRPr="006419F3" w:rsidTr="00BA69F3">
        <w:tc>
          <w:tcPr>
            <w:tcW w:w="595" w:type="dxa"/>
            <w:tcBorders>
              <w:top w:val="dashed" w:sz="4" w:space="0" w:color="auto"/>
              <w:bottom w:val="nil"/>
            </w:tcBorders>
          </w:tcPr>
          <w:p w:rsidR="00A56473" w:rsidRPr="00137152" w:rsidRDefault="00A56473" w:rsidP="00BA69F3">
            <w:pPr>
              <w:spacing w:before="4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</w:t>
            </w:r>
          </w:p>
          <w:p w:rsidR="00A56473" w:rsidRDefault="00A56473" w:rsidP="00BA69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H5</w:t>
            </w:r>
          </w:p>
          <w:p w:rsidR="00A56473" w:rsidRPr="00137152" w:rsidRDefault="00A56473" w:rsidP="00BA69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  <w:p w:rsidR="00A56473" w:rsidRDefault="00A56473" w:rsidP="00BA69F3">
            <w:pPr>
              <w:spacing w:after="0" w:line="240" w:lineRule="auto"/>
              <w:ind w:left="998" w:hanging="56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mentionnée explicitement avec une disposition différente de celles du principe général (litt. "comme à son sujet"),</w:t>
            </w:r>
          </w:p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vient pour alléger, et pour aggraver.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DE791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Pr="002D49D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ÃAny"n&gt;[ik. aLov, rxea; ![,jo) !A[j.li ac'y"w&gt;</w:t>
            </w:r>
          </w:p>
          <w:p w:rsidR="00A56473" w:rsidRPr="006419F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rymix]h;l.W lqeh'l. ac'y"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655E3C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Y10</w:t>
            </w:r>
          </w:p>
        </w:tc>
      </w:tr>
      <w:tr w:rsidR="00A56473" w:rsidRPr="006419F3" w:rsidTr="00BA69F3">
        <w:tc>
          <w:tcPr>
            <w:tcW w:w="595" w:type="dxa"/>
            <w:tcBorders>
              <w:top w:val="nil"/>
              <w:bottom w:val="nil"/>
            </w:tcBorders>
          </w:tcPr>
          <w:p w:rsidR="00A56473" w:rsidRPr="003242EB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énoncée explicitement pour parler d'un cas nouveau,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tu ne peux la réintégrer dans le principe général,</w:t>
            </w:r>
          </w:p>
          <w:p w:rsidR="00A56473" w:rsidRPr="005C1560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jusqu'à ce que le verset la réintègre explicitement.</w:t>
            </w:r>
          </w:p>
        </w:tc>
        <w:tc>
          <w:tcPr>
            <w:tcW w:w="426" w:type="dxa"/>
            <w:tcBorders>
              <w:bottom w:val="single" w:sz="4" w:space="0" w:color="auto"/>
              <w:right w:val="nil"/>
            </w:tcBorders>
          </w:tcPr>
          <w:p w:rsidR="00A56473" w:rsidRPr="00B237C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single" w:sz="4" w:space="0" w:color="auto"/>
            </w:tcBorders>
          </w:tcPr>
          <w:p w:rsidR="00A56473" w:rsidRPr="002D49D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Pr="002D49D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lastRenderedPageBreak/>
              <w:t>Ãvd"x'h, rb'D"B; !ADli ac'y"w&gt;</w:t>
            </w:r>
          </w:p>
          <w:p w:rsidR="00A56473" w:rsidRPr="002D49D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t>ÃAll'k.li AryzIx]h;l. lAky" hT'a; yai</w:t>
            </w:r>
          </w:p>
          <w:p w:rsidR="00A56473" w:rsidRPr="002D49D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2D49D3">
              <w:rPr>
                <w:rFonts w:ascii="Bwhebl" w:hAnsi="Bwhebl" w:cs="Arial"/>
                <w:sz w:val="32"/>
                <w:szCs w:val="32"/>
              </w:rPr>
              <w:t>vWrpeB. All'k.li bWtK'h; WNr&lt;)yzIx]Y:v, d[;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3242EB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Y11</w:t>
            </w:r>
          </w:p>
        </w:tc>
      </w:tr>
      <w:tr w:rsidR="00A56473" w:rsidRPr="006419F3" w:rsidTr="00BA69F3">
        <w:tc>
          <w:tcPr>
            <w:tcW w:w="595" w:type="dxa"/>
            <w:tcBorders>
              <w:bottom w:val="nil"/>
            </w:tcBorders>
          </w:tcPr>
          <w:p w:rsidR="00A56473" w:rsidRPr="00E36DAB" w:rsidRDefault="00A56473" w:rsidP="00BA69F3">
            <w:pPr>
              <w:spacing w:before="40"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H7</w:t>
            </w:r>
          </w:p>
        </w:tc>
        <w:tc>
          <w:tcPr>
            <w:tcW w:w="7485" w:type="dxa"/>
            <w:tcBorders>
              <w:bottom w:val="nil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une </w:t>
            </w:r>
            <w:r>
              <w:rPr>
                <w:rFonts w:ascii="Arial" w:hAnsi="Arial" w:cs="Arial"/>
                <w:sz w:val="20"/>
                <w:szCs w:val="20"/>
              </w:rPr>
              <w:t xml:space="preserve">loi qui est apprise de son contexte </w:t>
            </w:r>
            <w:r>
              <w:rPr>
                <w:rFonts w:ascii="Arial" w:hAnsi="Arial" w:cs="Arial"/>
                <w:sz w:val="20"/>
                <w:szCs w:val="20"/>
              </w:rPr>
              <w:tab/>
              <w:t>et une loi qui est apprise de sa fin</w:t>
            </w:r>
          </w:p>
        </w:tc>
        <w:tc>
          <w:tcPr>
            <w:tcW w:w="426" w:type="dxa"/>
            <w:tcBorders>
              <w:bottom w:val="dashed" w:sz="4" w:space="0" w:color="auto"/>
              <w:right w:val="nil"/>
            </w:tcBorders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dashed" w:sz="4" w:space="0" w:color="auto"/>
            </w:tcBorders>
          </w:tcPr>
          <w:p w:rsidR="00A56473" w:rsidRPr="005C1560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5C1560">
              <w:rPr>
                <w:rFonts w:ascii="Bwhebl" w:hAnsi="Bwhebl" w:cs="Arial"/>
                <w:sz w:val="32"/>
                <w:szCs w:val="32"/>
              </w:rPr>
              <w:t>WpWSmi dmeL'h; rb'd"w&gt;</w:t>
            </w:r>
            <w:r>
              <w:rPr>
                <w:rFonts w:ascii="Bwhebl" w:hAnsi="Bwhebl" w:cs="Arial"/>
                <w:sz w:val="32"/>
                <w:szCs w:val="32"/>
              </w:rPr>
              <w:t xml:space="preserve"> </w:t>
            </w:r>
            <w:r>
              <w:rPr>
                <w:rFonts w:ascii="Bwhebl" w:hAnsi="Bwhebl" w:cs="Arial"/>
                <w:sz w:val="32"/>
                <w:szCs w:val="32"/>
              </w:rPr>
              <w:tab/>
            </w:r>
            <w:r w:rsidRPr="005C1560">
              <w:rPr>
                <w:rFonts w:ascii="Bwhebl" w:hAnsi="Bwhebl" w:cs="Arial"/>
                <w:sz w:val="32"/>
                <w:szCs w:val="32"/>
              </w:rPr>
              <w:t>ÃWny"n&gt;[ime dmeL'h; rb'D"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E36DAB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Y12</w:t>
            </w:r>
          </w:p>
        </w:tc>
      </w:tr>
      <w:tr w:rsidR="00A56473" w:rsidRPr="006419F3" w:rsidTr="00BA69F3">
        <w:tc>
          <w:tcPr>
            <w:tcW w:w="595" w:type="dxa"/>
            <w:tcBorders>
              <w:top w:val="nil"/>
              <w:bottom w:val="single" w:sz="4" w:space="0" w:color="auto"/>
            </w:tcBorders>
          </w:tcPr>
          <w:p w:rsidR="00A56473" w:rsidRPr="00E36DAB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85" w:type="dxa"/>
            <w:tcBorders>
              <w:top w:val="dashed" w:sz="4" w:space="0" w:color="auto"/>
              <w:bottom w:val="single" w:sz="4" w:space="0" w:color="auto"/>
            </w:tcBorders>
          </w:tcPr>
          <w:p w:rsidR="00A56473" w:rsidRDefault="00A56473" w:rsidP="00BA69F3">
            <w:pPr>
              <w:spacing w:before="40"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deux versets</w:t>
            </w:r>
            <w:r w:rsidRPr="007350A0">
              <w:rPr>
                <w:rFonts w:ascii="Arial" w:hAnsi="Arial" w:cs="Arial"/>
                <w:sz w:val="20"/>
                <w:szCs w:val="20"/>
              </w:rPr>
              <w:t xml:space="preserve"> qui se c</w:t>
            </w:r>
            <w:r>
              <w:rPr>
                <w:rFonts w:ascii="Arial" w:hAnsi="Arial" w:cs="Arial"/>
                <w:sz w:val="20"/>
                <w:szCs w:val="20"/>
              </w:rPr>
              <w:t>ontredisent l'un l'autre</w:t>
            </w:r>
          </w:p>
          <w:p w:rsidR="00A56473" w:rsidRPr="007350A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nécessitent l'arbitrage  par un troisième verset</w:t>
            </w:r>
          </w:p>
        </w:tc>
        <w:tc>
          <w:tcPr>
            <w:tcW w:w="426" w:type="dxa"/>
            <w:tcBorders>
              <w:top w:val="dashed" w:sz="4" w:space="0" w:color="auto"/>
              <w:bottom w:val="single" w:sz="4" w:space="0" w:color="auto"/>
              <w:right w:val="nil"/>
            </w:tcBorders>
          </w:tcPr>
          <w:p w:rsidR="00A56473" w:rsidRPr="007350A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dashed" w:sz="4" w:space="0" w:color="auto"/>
              <w:left w:val="nil"/>
              <w:bottom w:val="single" w:sz="4" w:space="0" w:color="auto"/>
            </w:tcBorders>
          </w:tcPr>
          <w:p w:rsidR="00A56473" w:rsidRPr="005A3B5F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5A3B5F">
              <w:rPr>
                <w:rFonts w:ascii="Bwhebl" w:hAnsi="Bwhebl" w:cs="Arial"/>
                <w:sz w:val="32"/>
                <w:szCs w:val="32"/>
              </w:rPr>
              <w:t>Ãhz&lt;-ta&lt; hz, ~yviytik.m;h; ~ybiWtk. ynEv. !kew&gt;</w:t>
            </w:r>
          </w:p>
          <w:p w:rsidR="00A56473" w:rsidRPr="005A3B5F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5A3B5F">
              <w:rPr>
                <w:rFonts w:ascii="Bwhebl" w:hAnsi="Bwhebl" w:cs="Arial"/>
                <w:sz w:val="32"/>
                <w:szCs w:val="32"/>
              </w:rPr>
              <w:t>`~h,ynEyBe [;yrI)k.y:w&gt;ÃyviyliV.h; bWtK'h; aAbY"v, d[;</w:t>
            </w:r>
          </w:p>
        </w:tc>
        <w:tc>
          <w:tcPr>
            <w:tcW w:w="709" w:type="dxa"/>
            <w:tcBorders>
              <w:top w:val="dashed" w:sz="4" w:space="0" w:color="auto"/>
              <w:bottom w:val="single" w:sz="4" w:space="0" w:color="auto"/>
            </w:tcBorders>
          </w:tcPr>
          <w:p w:rsidR="00A56473" w:rsidRPr="000D0FE0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Y13</w:t>
            </w:r>
          </w:p>
        </w:tc>
      </w:tr>
    </w:tbl>
    <w:p w:rsidR="00A56473" w:rsidRPr="00F60864" w:rsidRDefault="00A56473" w:rsidP="00A56473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sectPr w:rsidR="00A56473" w:rsidRPr="00F60864" w:rsidSect="006A2C7E">
      <w:headerReference w:type="default" r:id="rId7"/>
      <w:pgSz w:w="16838" w:h="11906" w:orient="landscape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318" w:rsidRDefault="00B90318" w:rsidP="00B73194">
      <w:r>
        <w:separator/>
      </w:r>
    </w:p>
  </w:endnote>
  <w:endnote w:type="continuationSeparator" w:id="0">
    <w:p w:rsidR="00B90318" w:rsidRDefault="00B90318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hebl">
    <w:altName w:val="Times New Roman"/>
    <w:charset w:val="00"/>
    <w:family w:val="roman"/>
    <w:pitch w:val="variable"/>
    <w:sig w:usb0="A00000A7" w:usb1="00000048" w:usb2="00000000" w:usb3="00000000" w:csb0="00000111" w:csb1="00000000"/>
  </w:font>
  <w:font w:name="TIMES NRBI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318" w:rsidRDefault="00B90318" w:rsidP="00B73194">
      <w:r>
        <w:separator/>
      </w:r>
    </w:p>
  </w:footnote>
  <w:footnote w:type="continuationSeparator" w:id="0">
    <w:p w:rsidR="00B90318" w:rsidRDefault="00B90318" w:rsidP="00B73194">
      <w:r>
        <w:continuationSeparator/>
      </w:r>
    </w:p>
  </w:footnote>
  <w:footnote w:id="1">
    <w:p w:rsidR="007769B2" w:rsidRPr="00BF4684" w:rsidRDefault="007769B2" w:rsidP="006A2C7E">
      <w:pPr>
        <w:pStyle w:val="Notedebasdepage"/>
        <w:ind w:left="142" w:hanging="170"/>
        <w:jc w:val="both"/>
        <w:rPr>
          <w:rFonts w:ascii="Times New Roman" w:hAnsi="Times New Roman"/>
        </w:rPr>
      </w:pPr>
      <w:r w:rsidRPr="00BF4684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F4684">
        <w:rPr>
          <w:rFonts w:ascii="Times New Roman" w:hAnsi="Times New Roman"/>
        </w:rPr>
        <w:t xml:space="preserve"> Le texte des 13 middôt (= règles herméneutiques) selon rabbi Yishmaél (avec sa ponctuation) est celui de la baraïta de </w:t>
      </w:r>
      <w:r w:rsidRPr="00BF4684">
        <w:rPr>
          <w:rFonts w:ascii="Times New Roman" w:hAnsi="Times New Roman"/>
          <w:i/>
          <w:iCs/>
        </w:rPr>
        <w:t>Sifra</w:t>
      </w:r>
      <w:r w:rsidRPr="00BF4684">
        <w:rPr>
          <w:rFonts w:ascii="Times New Roman" w:hAnsi="Times New Roman"/>
        </w:rPr>
        <w:t xml:space="preserve"> (parashah </w:t>
      </w:r>
      <w:r w:rsidRPr="00BF4684">
        <w:rPr>
          <w:rFonts w:ascii="Times New Roman" w:hAnsi="Times New Roman"/>
          <w:rtl/>
        </w:rPr>
        <w:t>א</w:t>
      </w:r>
      <w:r w:rsidRPr="00BF4684">
        <w:rPr>
          <w:rFonts w:ascii="Times New Roman" w:hAnsi="Times New Roman"/>
        </w:rPr>
        <w:t>) citée dans le rituel de prières : (</w:t>
      </w:r>
      <w:r w:rsidRPr="00BF4684">
        <w:rPr>
          <w:rFonts w:ascii="Times New Roman" w:hAnsi="Times New Roman"/>
          <w:i/>
          <w:iCs/>
        </w:rPr>
        <w:t>tephilat Yosef</w:t>
      </w:r>
      <w:r w:rsidRPr="00BF4684">
        <w:rPr>
          <w:rFonts w:ascii="Times New Roman" w:hAnsi="Times New Roman"/>
        </w:rPr>
        <w:t>, (Paris, Sefer, 1976 ; p.16).</w:t>
      </w:r>
      <w:r w:rsidR="00BF4684" w:rsidRPr="00BF4684">
        <w:rPr>
          <w:rFonts w:ascii="Times New Roman" w:hAnsi="Times New Roman"/>
        </w:rPr>
        <w:t xml:space="preserve"> La traduction française est reprise de Adin STEINSALTZ, </w:t>
      </w:r>
      <w:r w:rsidR="00BF4684" w:rsidRPr="00BF4684">
        <w:rPr>
          <w:rFonts w:ascii="Times New Roman" w:hAnsi="Times New Roman"/>
          <w:i/>
          <w:iCs/>
        </w:rPr>
        <w:t>Le Talmud, l'édition Steinsaltz</w:t>
      </w:r>
      <w:r w:rsidR="00BF4684" w:rsidRPr="00BF4684">
        <w:rPr>
          <w:rFonts w:ascii="Times New Roman" w:hAnsi="Times New Roman"/>
        </w:rPr>
        <w:t>. Tome 1. Guide et Lexiques, (FSJU et JC Lattès, Jérusalem 1994 ; pages 135-140).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FE0" w:rsidRPr="00B73194" w:rsidRDefault="00BF4684" w:rsidP="00BF4684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>F.Boulanger. 16-06-2023</w:t>
    </w:r>
    <w:r w:rsidR="000D0FE0"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>Les 13 (ou 7) "principes herméneutiques" selon Yishmaél (et Hillél)</w:t>
    </w:r>
    <w:r w:rsidR="000D0FE0"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0D0FE0"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EndPr/>
      <w:sdtContent>
        <w:r w:rsidR="000D0FE0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0D0FE0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C56BA9">
          <w:rPr>
            <w:rFonts w:asciiTheme="majorBidi" w:hAnsiTheme="majorBidi" w:cstheme="majorBidi"/>
            <w:noProof/>
            <w:sz w:val="18"/>
            <w:szCs w:val="18"/>
          </w:rPr>
          <w:t>4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0D0FE0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0D0FE0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C56BA9">
          <w:rPr>
            <w:rFonts w:asciiTheme="majorBidi" w:hAnsiTheme="majorBidi" w:cstheme="majorBidi"/>
            <w:noProof/>
            <w:sz w:val="18"/>
            <w:szCs w:val="18"/>
          </w:rPr>
          <w:t>4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21CAF"/>
    <w:rsid w:val="000237A2"/>
    <w:rsid w:val="00060346"/>
    <w:rsid w:val="000605C2"/>
    <w:rsid w:val="000606D1"/>
    <w:rsid w:val="000653A4"/>
    <w:rsid w:val="00067279"/>
    <w:rsid w:val="000736EB"/>
    <w:rsid w:val="000B5157"/>
    <w:rsid w:val="000D0FE0"/>
    <w:rsid w:val="00137152"/>
    <w:rsid w:val="00142380"/>
    <w:rsid w:val="0015606A"/>
    <w:rsid w:val="00182599"/>
    <w:rsid w:val="00192CCB"/>
    <w:rsid w:val="001C2FED"/>
    <w:rsid w:val="001D07DC"/>
    <w:rsid w:val="002433D7"/>
    <w:rsid w:val="002C2937"/>
    <w:rsid w:val="003033C7"/>
    <w:rsid w:val="003242EB"/>
    <w:rsid w:val="00385843"/>
    <w:rsid w:val="00393F39"/>
    <w:rsid w:val="003E6887"/>
    <w:rsid w:val="004135D6"/>
    <w:rsid w:val="00416F15"/>
    <w:rsid w:val="004240F1"/>
    <w:rsid w:val="004447A1"/>
    <w:rsid w:val="0049383A"/>
    <w:rsid w:val="004E0612"/>
    <w:rsid w:val="00503439"/>
    <w:rsid w:val="00514C6B"/>
    <w:rsid w:val="005230C7"/>
    <w:rsid w:val="0053099A"/>
    <w:rsid w:val="00533E24"/>
    <w:rsid w:val="005938D1"/>
    <w:rsid w:val="00596143"/>
    <w:rsid w:val="005B0D8E"/>
    <w:rsid w:val="005B7AEF"/>
    <w:rsid w:val="005D0EF9"/>
    <w:rsid w:val="006046A9"/>
    <w:rsid w:val="00655E3C"/>
    <w:rsid w:val="00682350"/>
    <w:rsid w:val="006A2C7E"/>
    <w:rsid w:val="006A4724"/>
    <w:rsid w:val="006C138D"/>
    <w:rsid w:val="006D735A"/>
    <w:rsid w:val="006E6035"/>
    <w:rsid w:val="006F339F"/>
    <w:rsid w:val="00757288"/>
    <w:rsid w:val="00767A6B"/>
    <w:rsid w:val="007769B2"/>
    <w:rsid w:val="0079610F"/>
    <w:rsid w:val="007C15D9"/>
    <w:rsid w:val="007E4EED"/>
    <w:rsid w:val="007F6D18"/>
    <w:rsid w:val="0084448D"/>
    <w:rsid w:val="008451C9"/>
    <w:rsid w:val="00845890"/>
    <w:rsid w:val="00873529"/>
    <w:rsid w:val="0088549E"/>
    <w:rsid w:val="008D50F7"/>
    <w:rsid w:val="00904482"/>
    <w:rsid w:val="009109DE"/>
    <w:rsid w:val="00916472"/>
    <w:rsid w:val="0092379E"/>
    <w:rsid w:val="009C3A2E"/>
    <w:rsid w:val="009D54BE"/>
    <w:rsid w:val="009E5AC7"/>
    <w:rsid w:val="00A56473"/>
    <w:rsid w:val="00A63D2E"/>
    <w:rsid w:val="00A75F9E"/>
    <w:rsid w:val="00AC4E07"/>
    <w:rsid w:val="00B00862"/>
    <w:rsid w:val="00B50208"/>
    <w:rsid w:val="00B73194"/>
    <w:rsid w:val="00B90318"/>
    <w:rsid w:val="00BA0D13"/>
    <w:rsid w:val="00BA546B"/>
    <w:rsid w:val="00BB6196"/>
    <w:rsid w:val="00BC2CFD"/>
    <w:rsid w:val="00BE2EBB"/>
    <w:rsid w:val="00BE5820"/>
    <w:rsid w:val="00BF2075"/>
    <w:rsid w:val="00BF4684"/>
    <w:rsid w:val="00C04910"/>
    <w:rsid w:val="00C41E25"/>
    <w:rsid w:val="00C56BA9"/>
    <w:rsid w:val="00C7602E"/>
    <w:rsid w:val="00C9215D"/>
    <w:rsid w:val="00CF0520"/>
    <w:rsid w:val="00D41144"/>
    <w:rsid w:val="00D60B8E"/>
    <w:rsid w:val="00DB20F2"/>
    <w:rsid w:val="00DB445B"/>
    <w:rsid w:val="00DD4ABB"/>
    <w:rsid w:val="00E058C3"/>
    <w:rsid w:val="00E130CA"/>
    <w:rsid w:val="00E36DAB"/>
    <w:rsid w:val="00E37E8D"/>
    <w:rsid w:val="00E54CC7"/>
    <w:rsid w:val="00F5726E"/>
    <w:rsid w:val="00F62875"/>
    <w:rsid w:val="00F871B8"/>
    <w:rsid w:val="00FA56F1"/>
    <w:rsid w:val="00FD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3B3DCF69-C452-4421-AB0E-8AC59420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A6B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E5AC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E5AC7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9E5A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0AF736-2AC2-49D8-9BA5-D7A2626D2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36</cp:revision>
  <cp:lastPrinted>2025-12-14T22:34:00Z</cp:lastPrinted>
  <dcterms:created xsi:type="dcterms:W3CDTF">2024-09-29T05:45:00Z</dcterms:created>
  <dcterms:modified xsi:type="dcterms:W3CDTF">2025-12-14T22:34:00Z</dcterms:modified>
</cp:coreProperties>
</file>