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drawing>
          <wp:inline xmlns:a="http://schemas.openxmlformats.org/drawingml/2006/main" xmlns:pic="http://schemas.openxmlformats.org/drawingml/2006/picture">
            <wp:extent cx="4297680" cy="1518825"/>
            <wp:docPr id="1" name="Picture 1"/>
            <wp:cNvGraphicFramePr>
              <a:graphicFrameLocks noChangeAspect="1"/>
            </wp:cNvGraphicFramePr>
            <a:graphic>
              <a:graphicData uri="http://schemas.openxmlformats.org/drawingml/2006/picture">
                <pic:pic>
                  <pic:nvPicPr>
                    <pic:cNvPr id="0" name="ipowerworld-logo.png"/>
                    <pic:cNvPicPr/>
                  </pic:nvPicPr>
                  <pic:blipFill>
                    <a:blip r:embed="rId11"/>
                    <a:stretch>
                      <a:fillRect/>
                    </a:stretch>
                  </pic:blipFill>
                  <pic:spPr>
                    <a:xfrm>
                      <a:off x="0" y="0"/>
                      <a:ext cx="4297680" cy="1518825"/>
                    </a:xfrm>
                    <a:prstGeom prst="rect"/>
                  </pic:spPr>
                </pic:pic>
              </a:graphicData>
            </a:graphic>
          </wp:inline>
        </w:drawing>
      </w:r>
    </w:p>
    <w:tbl>
      <w:tblPr>
        <w:tblW w:type="dxa" w:w="9360"/>
        <w:jc w:val="left"/>
        <w:tblLayout w:type="fixed"/>
        <w:tblLook w:firstColumn="1" w:firstRow="1" w:lastColumn="0" w:lastRow="0" w:noHBand="0" w:noVBand="1" w:val="04A0"/>
        <w:tblInd w:w="0" w:type="dxa"/>
      </w:tblPr>
      <w:tblGrid>
        <w:gridCol w:w="9360"/>
      </w:tblGrid>
      <w:tr>
        <w:tc>
          <w:tcPr>
            <w:tcW w:type="dxa" w:w="9360"/>
            <w:tcMar>
              <w:top w:w="22" w:type="dxa"/>
              <w:start w:w="0" w:type="dxa"/>
              <w:bottom w:w="22" w:type="dxa"/>
              <w:end w:w="0" w:type="dxa"/>
            </w:tcMar>
            <w:vAlign w:val="center"/>
            <w:shd w:fill="20A4C2"/>
          </w:tcPr>
          <w:p>
            <w:r>
              <w:t xml:space="preserve"> </w:t>
            </w:r>
          </w:p>
        </w:tc>
      </w:tr>
    </w:tbl>
    <w:p>
      <w:pPr>
        <w:pStyle w:val="Title"/>
        <w:spacing w:before="760"/>
        <w:jc w:val="center"/>
      </w:pPr>
      <w:r>
        <w:rPr>
          <w:rFonts w:ascii="Calibri" w:hAnsi="Calibri" w:eastAsia="Calibri"/>
          <w:b/>
          <w:color w:val="283244"/>
          <w:sz w:val="54"/>
        </w:rPr>
        <w:t>Module Agence</w:t>
      </w:r>
    </w:p>
    <w:p>
      <w:pPr>
        <w:pStyle w:val="Subtitle"/>
        <w:jc w:val="center"/>
      </w:pPr>
      <w:r>
        <w:rPr>
          <w:rFonts w:ascii="Calibri" w:hAnsi="Calibri" w:eastAsia="Calibri"/>
          <w:color w:val="1971AC"/>
          <w:sz w:val="28"/>
        </w:rPr>
        <w:t>Présentation globale, fonctionnalités et utilité dans PowerERP</w:t>
      </w:r>
    </w:p>
    <w:p>
      <w:pPr>
        <w:spacing w:before="320"/>
        <w:jc w:val="center"/>
      </w:pPr>
      <w:r>
        <w:rPr>
          <w:rFonts w:ascii="Calibri" w:hAnsi="Calibri" w:eastAsia="Calibri"/>
          <w:b/>
          <w:color w:val="E45510"/>
          <w:sz w:val="24"/>
        </w:rPr>
        <w:t>PowerERP · Module Agence 2.0.0</w:t>
      </w:r>
    </w:p>
    <w:p>
      <w:pPr>
        <w:jc w:val="center"/>
      </w:pPr>
      <w:r>
        <w:rPr>
          <w:rFonts w:ascii="Calibri" w:hAnsi="Calibri" w:eastAsia="Calibri"/>
          <w:color w:val="6B7280"/>
          <w:sz w:val="21"/>
        </w:rPr>
        <w:t>Public : Direction générale, opérations, finance, contrôle interne et SI</w:t>
        <w:br/>
        <w:t>Édition : Août 2026</w:t>
      </w:r>
    </w:p>
    <w:tbl>
      <w:tblPr>
        <w:tblW w:type="dxa" w:w="6000"/>
        <w:jc w:val="left"/>
        <w:tblLayout w:type="fixed"/>
        <w:tblLook w:firstColumn="1" w:firstRow="1" w:lastColumn="0" w:lastRow="0" w:noHBand="0" w:noVBand="1" w:val="04A0"/>
        <w:tblInd w:w="1680" w:type="dxa"/>
      </w:tblPr>
      <w:tblGrid>
        <w:gridCol w:w="6000"/>
      </w:tblGrid>
      <w:tr>
        <w:tc>
          <w:tcPr>
            <w:tcW w:type="dxa" w:w="6000"/>
            <w:tcMar>
              <w:top w:w="140" w:type="dxa"/>
              <w:start w:w="180" w:type="dxa"/>
              <w:bottom w:w="140" w:type="dxa"/>
              <w:end w:w="180" w:type="dxa"/>
            </w:tcMar>
            <w:vAlign w:val="center"/>
            <w:shd w:fill="EAF7FA"/>
          </w:tcPr>
          <w:p>
            <w:pPr>
              <w:jc w:val="center"/>
            </w:pPr>
            <w:r>
              <w:rPr>
                <w:rFonts w:ascii="Calibri" w:hAnsi="Calibri" w:eastAsia="Calibri"/>
                <w:b/>
                <w:color w:val="283244"/>
                <w:sz w:val="21"/>
              </w:rPr>
              <w:t>Éditeur et ressource : iPowerWorld</w:t>
              <w:br/>
            </w:r>
            <w:hyperlink r:id="rId12">
              <w:r>
                <w:rPr>
                  <w:color w:val="1971AC"/>
                  <w:u w:val="single"/>
                  <w:rFonts w:ascii="Calibri" w:hAnsi="Calibri"/>
                </w:rPr>
                <w:t>csa@ipowerworld.net</w:t>
              </w:r>
            </w:hyperlink>
          </w:p>
        </w:tc>
      </w:tr>
    </w:tbl>
    <w:p>
      <w:pPr>
        <w:spacing w:before="560"/>
        <w:jc w:val="center"/>
      </w:pPr>
      <w:r>
        <w:rPr>
          <w:rFonts w:ascii="Calibri" w:hAnsi="Calibri" w:eastAsia="Calibri"/>
          <w:b/>
          <w:color w:val="E45510"/>
          <w:sz w:val="17"/>
        </w:rPr>
        <w:t>EMPOWERS YOUR WORLD</w:t>
      </w:r>
    </w:p>
    <w:p>
      <w:r>
        <w:br w:type="page"/>
      </w:r>
    </w:p>
    <w:p>
      <w:pPr>
        <w:pStyle w:val="Heading1"/>
      </w:pPr>
      <w:r>
        <w:t>1. Le module en une page</w:t>
      </w:r>
    </w:p>
    <w:p>
      <w:pPr>
        <w:spacing w:after="200"/>
      </w:pPr>
      <w:r>
        <w:rPr>
          <w:rFonts w:ascii="Calibri" w:hAnsi="Calibri" w:eastAsia="Calibri"/>
          <w:color w:val="283244"/>
          <w:sz w:val="23"/>
        </w:rPr>
        <w:t>Agence est le poste de pilotage opérationnel et financier des points de vente ou agences dans PowerERP.</w:t>
      </w:r>
    </w:p>
    <w:p>
      <w:r>
        <w:rPr>
          <w:rFonts w:ascii="Calibri" w:hAnsi="Calibri" w:eastAsia="Calibri"/>
        </w:rPr>
        <w:t>Il structure les agences, les domaines d’activité stratégique (DAS), les caisses et les périmètres utilisateurs. Il sécurise ensuite tout le cycle de caisse : ouverture, encaissements, paiements mixtes ou différés, contrôles, clôture, validation, dépôts, rapprochement bancaire et préparation comptable.</w:t>
      </w:r>
    </w:p>
    <w:tbl>
      <w:tblPr>
        <w:tblW w:type="dxa" w:w="9360"/>
        <w:tblLayout w:type="fixed"/>
        <w:tblLook w:firstColumn="1" w:firstRow="1" w:lastColumn="0" w:lastRow="0" w:noHBand="0" w:noVBand="1" w:val="04A0"/>
        <w:jc w:val="left"/>
        <w:tblInd w:w="0" w:type="dxa"/>
      </w:tblPr>
      <w:tblGrid>
        <w:gridCol w:w="2300"/>
        <w:gridCol w:w="3900"/>
        <w:gridCol w:w="3160"/>
      </w:tblGrid>
      <w:tr>
        <w:trPr>
          <w:tblHeader w:val="true"/>
        </w:trPr>
        <w:tc>
          <w:tcPr>
            <w:tcW w:type="dxa" w:w="2300"/>
            <w:tcMar>
              <w:top w:w="80" w:type="dxa"/>
              <w:start w:w="120" w:type="dxa"/>
              <w:bottom w:w="80" w:type="dxa"/>
              <w:end w:w="120" w:type="dxa"/>
            </w:tcMar>
            <w:vAlign w:val="center"/>
            <w:shd w:fill="1971AC"/>
          </w:tcPr>
          <w:p>
            <w:r>
              <w:rPr>
                <w:rFonts w:ascii="Calibri" w:hAnsi="Calibri" w:eastAsia="Calibri"/>
                <w:b/>
                <w:color w:val="FFFFFF"/>
                <w:sz w:val="19"/>
              </w:rPr>
              <w:t>Besoin métier</w:t>
            </w:r>
          </w:p>
        </w:tc>
        <w:tc>
          <w:tcPr>
            <w:tcW w:type="dxa" w:w="3900"/>
            <w:tcMar>
              <w:top w:w="80" w:type="dxa"/>
              <w:start w:w="120" w:type="dxa"/>
              <w:bottom w:w="80" w:type="dxa"/>
              <w:end w:w="120" w:type="dxa"/>
            </w:tcMar>
            <w:vAlign w:val="center"/>
            <w:shd w:fill="1971AC"/>
          </w:tcPr>
          <w:p>
            <w:r>
              <w:rPr>
                <w:rFonts w:ascii="Calibri" w:hAnsi="Calibri" w:eastAsia="Calibri"/>
                <w:b/>
                <w:color w:val="FFFFFF"/>
                <w:sz w:val="19"/>
              </w:rPr>
              <w:t>Réponse du module</w:t>
            </w:r>
          </w:p>
        </w:tc>
        <w:tc>
          <w:tcPr>
            <w:tcW w:type="dxa" w:w="3160"/>
            <w:tcMar>
              <w:top w:w="80" w:type="dxa"/>
              <w:start w:w="120" w:type="dxa"/>
              <w:bottom w:w="80" w:type="dxa"/>
              <w:end w:w="120" w:type="dxa"/>
            </w:tcMar>
            <w:vAlign w:val="center"/>
            <w:shd w:fill="1971AC"/>
          </w:tcPr>
          <w:p>
            <w:r>
              <w:rPr>
                <w:rFonts w:ascii="Calibri" w:hAnsi="Calibri" w:eastAsia="Calibri"/>
                <w:b/>
                <w:color w:val="FFFFFF"/>
                <w:sz w:val="19"/>
              </w:rPr>
              <w:t>Résultat attendu</w:t>
            </w:r>
          </w:p>
        </w:tc>
      </w:tr>
      <w:tr>
        <w:tc>
          <w:tcPr>
            <w:tcW w:type="dxa" w:w="2300"/>
            <w:tcMar>
              <w:top w:w="80" w:type="dxa"/>
              <w:start w:w="120" w:type="dxa"/>
              <w:bottom w:w="80" w:type="dxa"/>
              <w:end w:w="120" w:type="dxa"/>
            </w:tcMar>
            <w:vAlign w:val="center"/>
          </w:tcPr>
          <w:p>
            <w:r>
              <w:rPr>
                <w:rFonts w:ascii="Calibri" w:hAnsi="Calibri" w:eastAsia="Calibri"/>
                <w:color w:val="30343B"/>
                <w:sz w:val="18"/>
              </w:rPr>
              <w:t>Piloter plusieurs agences</w:t>
            </w:r>
          </w:p>
        </w:tc>
        <w:tc>
          <w:tcPr>
            <w:tcW w:type="dxa" w:w="3900"/>
            <w:tcMar>
              <w:top w:w="80" w:type="dxa"/>
              <w:start w:w="120" w:type="dxa"/>
              <w:bottom w:w="80" w:type="dxa"/>
              <w:end w:w="120" w:type="dxa"/>
            </w:tcMar>
            <w:vAlign w:val="center"/>
          </w:tcPr>
          <w:p>
            <w:r>
              <w:rPr>
                <w:rFonts w:ascii="Calibri" w:hAnsi="Calibri" w:eastAsia="Calibri"/>
                <w:color w:val="30343B"/>
                <w:sz w:val="18"/>
              </w:rPr>
              <w:t>Référentiel agences, DAS, caisses et périmètres</w:t>
            </w:r>
          </w:p>
        </w:tc>
        <w:tc>
          <w:tcPr>
            <w:tcW w:type="dxa" w:w="3160"/>
            <w:tcMar>
              <w:top w:w="80" w:type="dxa"/>
              <w:start w:w="120" w:type="dxa"/>
              <w:bottom w:w="80" w:type="dxa"/>
              <w:end w:w="120" w:type="dxa"/>
            </w:tcMar>
            <w:vAlign w:val="center"/>
          </w:tcPr>
          <w:p>
            <w:r>
              <w:rPr>
                <w:rFonts w:ascii="Calibri" w:hAnsi="Calibri" w:eastAsia="Calibri"/>
                <w:color w:val="30343B"/>
                <w:sz w:val="18"/>
              </w:rPr>
              <w:t>Une lecture locale et consolidée</w:t>
            </w:r>
          </w:p>
        </w:tc>
      </w:tr>
      <w:tr>
        <w:tc>
          <w:tcPr>
            <w:tcW w:type="dxa" w:w="2300"/>
            <w:shd w:fill="F3F5F7"/>
            <w:tcMar>
              <w:top w:w="80" w:type="dxa"/>
              <w:start w:w="120" w:type="dxa"/>
              <w:bottom w:w="80" w:type="dxa"/>
              <w:end w:w="120" w:type="dxa"/>
            </w:tcMar>
            <w:vAlign w:val="center"/>
          </w:tcPr>
          <w:p>
            <w:r>
              <w:rPr>
                <w:rFonts w:ascii="Calibri" w:hAnsi="Calibri" w:eastAsia="Calibri"/>
                <w:color w:val="30343B"/>
                <w:sz w:val="18"/>
              </w:rPr>
              <w:t>Fiabiliser les encaissements</w:t>
            </w:r>
          </w:p>
        </w:tc>
        <w:tc>
          <w:tcPr>
            <w:tcW w:type="dxa" w:w="3900"/>
            <w:shd w:fill="F3F5F7"/>
            <w:tcMar>
              <w:top w:w="80" w:type="dxa"/>
              <w:start w:w="120" w:type="dxa"/>
              <w:bottom w:w="80" w:type="dxa"/>
              <w:end w:w="120" w:type="dxa"/>
            </w:tcMar>
            <w:vAlign w:val="center"/>
          </w:tcPr>
          <w:p>
            <w:r>
              <w:rPr>
                <w:rFonts w:ascii="Calibri" w:hAnsi="Calibri" w:eastAsia="Calibri"/>
                <w:color w:val="30343B"/>
                <w:sz w:val="18"/>
              </w:rPr>
              <w:t>Session obligatoire, modes de paiement et liens natifs</w:t>
            </w:r>
          </w:p>
        </w:tc>
        <w:tc>
          <w:tcPr>
            <w:tcW w:type="dxa" w:w="3160"/>
            <w:shd w:fill="F3F5F7"/>
            <w:tcMar>
              <w:top w:w="80" w:type="dxa"/>
              <w:start w:w="120" w:type="dxa"/>
              <w:bottom w:w="80" w:type="dxa"/>
              <w:end w:w="120" w:type="dxa"/>
            </w:tcMar>
            <w:vAlign w:val="center"/>
          </w:tcPr>
          <w:p>
            <w:r>
              <w:rPr>
                <w:rFonts w:ascii="Calibri" w:hAnsi="Calibri" w:eastAsia="Calibri"/>
                <w:color w:val="30343B"/>
                <w:sz w:val="18"/>
              </w:rPr>
              <w:t>Traçabilité du ticket à la banque</w:t>
            </w:r>
          </w:p>
        </w:tc>
      </w:tr>
      <w:tr>
        <w:tc>
          <w:tcPr>
            <w:tcW w:type="dxa" w:w="2300"/>
            <w:tcMar>
              <w:top w:w="80" w:type="dxa"/>
              <w:start w:w="120" w:type="dxa"/>
              <w:bottom w:w="80" w:type="dxa"/>
              <w:end w:w="120" w:type="dxa"/>
            </w:tcMar>
            <w:vAlign w:val="center"/>
          </w:tcPr>
          <w:p>
            <w:r>
              <w:rPr>
                <w:rFonts w:ascii="Calibri" w:hAnsi="Calibri" w:eastAsia="Calibri"/>
                <w:color w:val="30343B"/>
                <w:sz w:val="18"/>
              </w:rPr>
              <w:t>Encadrer les exceptions</w:t>
            </w:r>
          </w:p>
        </w:tc>
        <w:tc>
          <w:tcPr>
            <w:tcW w:type="dxa" w:w="3900"/>
            <w:tcMar>
              <w:top w:w="80" w:type="dxa"/>
              <w:start w:w="120" w:type="dxa"/>
              <w:bottom w:w="80" w:type="dxa"/>
              <w:end w:w="120" w:type="dxa"/>
            </w:tcMar>
            <w:vAlign w:val="center"/>
          </w:tcPr>
          <w:p>
            <w:r>
              <w:rPr>
                <w:rFonts w:ascii="Calibri" w:hAnsi="Calibri" w:eastAsia="Calibri"/>
                <w:color w:val="30343B"/>
                <w:sz w:val="18"/>
              </w:rPr>
              <w:t>Différés, avoirs, remboursements et workflows</w:t>
            </w:r>
          </w:p>
        </w:tc>
        <w:tc>
          <w:tcPr>
            <w:tcW w:type="dxa" w:w="3160"/>
            <w:tcMar>
              <w:top w:w="80" w:type="dxa"/>
              <w:start w:w="120" w:type="dxa"/>
              <w:bottom w:w="80" w:type="dxa"/>
              <w:end w:w="120" w:type="dxa"/>
            </w:tcMar>
            <w:vAlign w:val="center"/>
          </w:tcPr>
          <w:p>
            <w:r>
              <w:rPr>
                <w:rFonts w:ascii="Calibri" w:hAnsi="Calibri" w:eastAsia="Calibri"/>
                <w:color w:val="30343B"/>
                <w:sz w:val="18"/>
              </w:rPr>
              <w:t>Décisions explicites et contrôlées</w:t>
            </w:r>
          </w:p>
        </w:tc>
      </w:tr>
      <w:tr>
        <w:tc>
          <w:tcPr>
            <w:tcW w:type="dxa" w:w="2300"/>
            <w:shd w:fill="F3F5F7"/>
            <w:tcMar>
              <w:top w:w="80" w:type="dxa"/>
              <w:start w:w="120" w:type="dxa"/>
              <w:bottom w:w="80" w:type="dxa"/>
              <w:end w:w="120" w:type="dxa"/>
            </w:tcMar>
            <w:vAlign w:val="center"/>
          </w:tcPr>
          <w:p>
            <w:r>
              <w:rPr>
                <w:rFonts w:ascii="Calibri" w:hAnsi="Calibri" w:eastAsia="Calibri"/>
                <w:color w:val="30343B"/>
                <w:sz w:val="18"/>
              </w:rPr>
              <w:t>Renforcer le contrôle interne</w:t>
            </w:r>
          </w:p>
        </w:tc>
        <w:tc>
          <w:tcPr>
            <w:tcW w:type="dxa" w:w="3900"/>
            <w:shd w:fill="F3F5F7"/>
            <w:tcMar>
              <w:top w:w="80" w:type="dxa"/>
              <w:start w:w="120" w:type="dxa"/>
              <w:bottom w:w="80" w:type="dxa"/>
              <w:end w:w="120" w:type="dxa"/>
            </w:tcMar>
            <w:vAlign w:val="center"/>
          </w:tcPr>
          <w:p>
            <w:r>
              <w:rPr>
                <w:rFonts w:ascii="Calibri" w:hAnsi="Calibri" w:eastAsia="Calibri"/>
                <w:color w:val="30343B"/>
                <w:sz w:val="18"/>
              </w:rPr>
              <w:t>Gel, comptages, écarts, alertes et audit immuable</w:t>
            </w:r>
          </w:p>
        </w:tc>
        <w:tc>
          <w:tcPr>
            <w:tcW w:type="dxa" w:w="3160"/>
            <w:shd w:fill="F3F5F7"/>
            <w:tcMar>
              <w:top w:w="80" w:type="dxa"/>
              <w:start w:w="120" w:type="dxa"/>
              <w:bottom w:w="80" w:type="dxa"/>
              <w:end w:w="120" w:type="dxa"/>
            </w:tcMar>
            <w:vAlign w:val="center"/>
          </w:tcPr>
          <w:p>
            <w:r>
              <w:rPr>
                <w:rFonts w:ascii="Calibri" w:hAnsi="Calibri" w:eastAsia="Calibri"/>
                <w:color w:val="30343B"/>
                <w:sz w:val="18"/>
              </w:rPr>
              <w:t>Réduction du risque de fraude et d’erreur</w:t>
            </w:r>
          </w:p>
        </w:tc>
      </w:tr>
      <w:tr>
        <w:tc>
          <w:tcPr>
            <w:tcW w:type="dxa" w:w="2300"/>
            <w:tcMar>
              <w:top w:w="80" w:type="dxa"/>
              <w:start w:w="120" w:type="dxa"/>
              <w:bottom w:w="80" w:type="dxa"/>
              <w:end w:w="120" w:type="dxa"/>
            </w:tcMar>
            <w:vAlign w:val="center"/>
          </w:tcPr>
          <w:p>
            <w:r>
              <w:rPr>
                <w:rFonts w:ascii="Calibri" w:hAnsi="Calibri" w:eastAsia="Calibri"/>
                <w:color w:val="30343B"/>
                <w:sz w:val="18"/>
              </w:rPr>
              <w:t>Accélérer la clôture</w:t>
            </w:r>
          </w:p>
        </w:tc>
        <w:tc>
          <w:tcPr>
            <w:tcW w:type="dxa" w:w="3900"/>
            <w:tcMar>
              <w:top w:w="80" w:type="dxa"/>
              <w:start w:w="120" w:type="dxa"/>
              <w:bottom w:w="80" w:type="dxa"/>
              <w:end w:w="120" w:type="dxa"/>
            </w:tcMar>
            <w:vAlign w:val="center"/>
          </w:tcPr>
          <w:p>
            <w:r>
              <w:rPr>
                <w:rFonts w:ascii="Calibri" w:hAnsi="Calibri" w:eastAsia="Calibri"/>
                <w:color w:val="30343B"/>
                <w:sz w:val="18"/>
              </w:rPr>
              <w:t>Validation multi-niveaux, rapprochement et déversement</w:t>
            </w:r>
          </w:p>
        </w:tc>
        <w:tc>
          <w:tcPr>
            <w:tcW w:type="dxa" w:w="3160"/>
            <w:tcMar>
              <w:top w:w="80" w:type="dxa"/>
              <w:start w:w="120" w:type="dxa"/>
              <w:bottom w:w="80" w:type="dxa"/>
              <w:end w:w="120" w:type="dxa"/>
            </w:tcMar>
            <w:vAlign w:val="center"/>
          </w:tcPr>
          <w:p>
            <w:r>
              <w:rPr>
                <w:rFonts w:ascii="Calibri" w:hAnsi="Calibri" w:eastAsia="Calibri"/>
                <w:color w:val="30343B"/>
                <w:sz w:val="18"/>
              </w:rPr>
              <w:t>Données prêtes pour la finance</w:t>
            </w:r>
          </w:p>
        </w:tc>
      </w:tr>
    </w:tbl>
    <w:p>
      <w:pPr>
        <w:spacing w:after="0"/>
      </w:pPr>
    </w:p>
    <w:tbl>
      <w:tblPr>
        <w:tblW w:type="dxa" w:w="9360"/>
        <w:jc w:val="left"/>
        <w:tblLayout w:type="fixed"/>
        <w:tblLook w:firstColumn="1" w:firstRow="1" w:lastColumn="0" w:lastRow="0" w:noHBand="0" w:noVBand="1" w:val="04A0"/>
        <w:tblInd w:w="0" w:type="dxa"/>
      </w:tblPr>
      <w:tblGrid>
        <w:gridCol w:w="180"/>
        <w:gridCol w:w="9180"/>
      </w:tblGrid>
      <w:tr>
        <w:tc>
          <w:tcPr>
            <w:tcW w:type="dxa" w:w="180"/>
            <w:tcMar>
              <w:top w:w="80" w:type="dxa"/>
              <w:start w:w="0" w:type="dxa"/>
              <w:bottom w:w="80" w:type="dxa"/>
              <w:end w:w="0" w:type="dxa"/>
            </w:tcMar>
            <w:vAlign w:val="center"/>
            <w:shd w:fill="E45510"/>
          </w:tcPr>
          <w:p/>
        </w:tc>
        <w:tc>
          <w:tcPr>
            <w:tcW w:type="dxa" w:w="9180"/>
            <w:tcMar>
              <w:top w:w="120" w:type="dxa"/>
              <w:start w:w="160" w:type="dxa"/>
              <w:bottom w:w="120" w:type="dxa"/>
              <w:end w:w="160" w:type="dxa"/>
            </w:tcMar>
            <w:vAlign w:val="center"/>
            <w:shd w:fill="FFF1E8"/>
          </w:tcPr>
          <w:p>
            <w:r>
              <w:rPr>
                <w:rFonts w:ascii="Calibri" w:hAnsi="Calibri" w:eastAsia="Calibri"/>
                <w:b/>
                <w:color w:val="283244"/>
              </w:rPr>
              <w:t>Décision d’architecture</w:t>
              <w:br/>
            </w:r>
            <w:r>
              <w:rPr>
                <w:rFonts w:ascii="Calibri" w:hAnsi="Calibri" w:eastAsia="Calibri"/>
                <w:color w:val="30343B"/>
                <w:sz w:val="21"/>
              </w:rPr>
              <w:t>Agence 2.0.0 reprend le périmètre opérationnel auparavant porté par SofOps. Le module SofOps doit rester désactivé afin d’éviter les doubles menus, hooks, triggers et traitements de paiement.</w:t>
            </w:r>
          </w:p>
        </w:tc>
      </w:tr>
    </w:tbl>
    <w:p>
      <w:pPr>
        <w:spacing w:after="0"/>
      </w:pPr>
    </w:p>
    <w:p>
      <w:r>
        <w:br w:type="page"/>
      </w:r>
    </w:p>
    <w:p>
      <w:pPr>
        <w:pStyle w:val="Heading1"/>
      </w:pPr>
      <w:r>
        <w:t>2. Sa place dans l’écosystème PowerERP</w:t>
      </w:r>
    </w:p>
    <w:p>
      <w:pPr>
        <w:spacing w:after="200"/>
      </w:pPr>
      <w:r>
        <w:rPr>
          <w:rFonts w:ascii="Calibri" w:hAnsi="Calibri" w:eastAsia="Calibri"/>
          <w:color w:val="283244"/>
          <w:sz w:val="23"/>
        </w:rPr>
        <w:t>Le module étend Dolibarr sans modifier son cœur : il orchestre les objets standards et ajoute le contexte agence.</w:t>
      </w:r>
    </w:p>
    <w:tbl>
      <w:tblPr>
        <w:tblW w:type="dxa" w:w="9360"/>
        <w:jc w:val="left"/>
        <w:tblLayout w:type="fixed"/>
        <w:tblLook w:firstColumn="1" w:firstRow="1" w:lastColumn="0" w:lastRow="0" w:noHBand="0" w:noVBand="1" w:val="04A0"/>
        <w:tblInd w:w="0" w:type="dxa"/>
      </w:tblPr>
      <w:tblGrid>
        <w:gridCol w:w="1872"/>
        <w:gridCol w:w="1872"/>
        <w:gridCol w:w="1872"/>
        <w:gridCol w:w="1872"/>
        <w:gridCol w:w="1872"/>
      </w:tblGrid>
      <w:tr>
        <w:tc>
          <w:tcPr>
            <w:tcW w:type="dxa" w:w="1872"/>
            <w:tcMar>
              <w:top w:w="80" w:type="dxa"/>
              <w:start w:w="120" w:type="dxa"/>
              <w:bottom w:w="80" w:type="dxa"/>
              <w:end w:w="120" w:type="dxa"/>
            </w:tcMar>
            <w:vAlign w:val="center"/>
            <w:shd w:fill="20A4C2"/>
          </w:tcPr>
          <w:p>
            <w:pPr>
              <w:jc w:val="center"/>
            </w:pPr>
            <w:r>
              <w:rPr>
                <w:rFonts w:ascii="Calibri" w:hAnsi="Calibri" w:eastAsia="Calibri"/>
                <w:b/>
                <w:color w:val="FFFFFF"/>
                <w:sz w:val="18"/>
              </w:rPr>
              <w:t>1. Vente</w:t>
            </w:r>
          </w:p>
        </w:tc>
        <w:tc>
          <w:tcPr>
            <w:tcW w:type="dxa" w:w="1872"/>
            <w:tcMar>
              <w:top w:w="80" w:type="dxa"/>
              <w:start w:w="120" w:type="dxa"/>
              <w:bottom w:w="80" w:type="dxa"/>
              <w:end w:w="120" w:type="dxa"/>
            </w:tcMar>
            <w:vAlign w:val="center"/>
            <w:shd w:fill="1971AC"/>
          </w:tcPr>
          <w:p>
            <w:pPr>
              <w:jc w:val="center"/>
            </w:pPr>
            <w:r>
              <w:rPr>
                <w:rFonts w:ascii="Calibri" w:hAnsi="Calibri" w:eastAsia="Calibri"/>
                <w:b/>
                <w:color w:val="FFFFFF"/>
                <w:sz w:val="18"/>
              </w:rPr>
              <w:t>2. Contexte</w:t>
            </w:r>
          </w:p>
        </w:tc>
        <w:tc>
          <w:tcPr>
            <w:tcW w:type="dxa" w:w="1872"/>
            <w:tcMar>
              <w:top w:w="80" w:type="dxa"/>
              <w:start w:w="120" w:type="dxa"/>
              <w:bottom w:w="80" w:type="dxa"/>
              <w:end w:w="120" w:type="dxa"/>
            </w:tcMar>
            <w:vAlign w:val="center"/>
            <w:shd w:fill="20A4C2"/>
          </w:tcPr>
          <w:p>
            <w:pPr>
              <w:jc w:val="center"/>
            </w:pPr>
            <w:r>
              <w:rPr>
                <w:rFonts w:ascii="Calibri" w:hAnsi="Calibri" w:eastAsia="Calibri"/>
                <w:b/>
                <w:color w:val="FFFFFF"/>
                <w:sz w:val="18"/>
              </w:rPr>
              <w:t>3. Règlement</w:t>
            </w:r>
          </w:p>
        </w:tc>
        <w:tc>
          <w:tcPr>
            <w:tcW w:type="dxa" w:w="1872"/>
            <w:tcMar>
              <w:top w:w="80" w:type="dxa"/>
              <w:start w:w="120" w:type="dxa"/>
              <w:bottom w:w="80" w:type="dxa"/>
              <w:end w:w="120" w:type="dxa"/>
            </w:tcMar>
            <w:vAlign w:val="center"/>
            <w:shd w:fill="1971AC"/>
          </w:tcPr>
          <w:p>
            <w:pPr>
              <w:jc w:val="center"/>
            </w:pPr>
            <w:r>
              <w:rPr>
                <w:rFonts w:ascii="Calibri" w:hAnsi="Calibri" w:eastAsia="Calibri"/>
                <w:b/>
                <w:color w:val="FFFFFF"/>
                <w:sz w:val="18"/>
              </w:rPr>
              <w:t>4. Contrôle</w:t>
            </w:r>
          </w:p>
        </w:tc>
        <w:tc>
          <w:tcPr>
            <w:tcW w:type="dxa" w:w="1872"/>
            <w:tcMar>
              <w:top w:w="80" w:type="dxa"/>
              <w:start w:w="120" w:type="dxa"/>
              <w:bottom w:w="80" w:type="dxa"/>
              <w:end w:w="120" w:type="dxa"/>
            </w:tcMar>
            <w:vAlign w:val="center"/>
            <w:shd w:fill="20A4C2"/>
          </w:tcPr>
          <w:p>
            <w:pPr>
              <w:jc w:val="center"/>
            </w:pPr>
            <w:r>
              <w:rPr>
                <w:rFonts w:ascii="Calibri" w:hAnsi="Calibri" w:eastAsia="Calibri"/>
                <w:b/>
                <w:color w:val="FFFFFF"/>
                <w:sz w:val="18"/>
              </w:rPr>
              <w:t>5. Finance</w:t>
            </w:r>
          </w:p>
        </w:tc>
      </w:tr>
      <w:tr>
        <w:tc>
          <w:tcPr>
            <w:tcW w:type="dxa" w:w="1872"/>
            <w:tcMar>
              <w:top w:w="80" w:type="dxa"/>
              <w:start w:w="120" w:type="dxa"/>
              <w:bottom w:w="80" w:type="dxa"/>
              <w:end w:w="120" w:type="dxa"/>
            </w:tcMar>
            <w:vAlign w:val="center"/>
            <w:shd w:fill="EAF7FA"/>
          </w:tcPr>
          <w:p>
            <w:pPr>
              <w:jc w:val="center"/>
            </w:pPr>
            <w:r>
              <w:rPr>
                <w:rFonts w:ascii="Calibri" w:hAnsi="Calibri" w:eastAsia="Calibri"/>
                <w:color w:val="30343B"/>
                <w:sz w:val="17"/>
              </w:rPr>
              <w:t>TakePOS, commande ou facture</w:t>
            </w:r>
          </w:p>
        </w:tc>
        <w:tc>
          <w:tcPr>
            <w:tcW w:type="dxa" w:w="1872"/>
            <w:tcMar>
              <w:top w:w="80" w:type="dxa"/>
              <w:start w:w="120" w:type="dxa"/>
              <w:bottom w:w="80" w:type="dxa"/>
              <w:end w:w="120" w:type="dxa"/>
            </w:tcMar>
            <w:vAlign w:val="center"/>
            <w:shd w:fill="EDF4FA"/>
          </w:tcPr>
          <w:p>
            <w:pPr>
              <w:jc w:val="center"/>
            </w:pPr>
            <w:r>
              <w:rPr>
                <w:rFonts w:ascii="Calibri" w:hAnsi="Calibri" w:eastAsia="Calibri"/>
                <w:color w:val="30343B"/>
                <w:sz w:val="17"/>
              </w:rPr>
              <w:t>Agence, caisse, session et DAS</w:t>
            </w:r>
          </w:p>
        </w:tc>
        <w:tc>
          <w:tcPr>
            <w:tcW w:type="dxa" w:w="1872"/>
            <w:tcMar>
              <w:top w:w="80" w:type="dxa"/>
              <w:start w:w="120" w:type="dxa"/>
              <w:bottom w:w="80" w:type="dxa"/>
              <w:end w:w="120" w:type="dxa"/>
            </w:tcMar>
            <w:vAlign w:val="center"/>
            <w:shd w:fill="EAF7FA"/>
          </w:tcPr>
          <w:p>
            <w:pPr>
              <w:jc w:val="center"/>
            </w:pPr>
            <w:r>
              <w:rPr>
                <w:rFonts w:ascii="Calibri" w:hAnsi="Calibri" w:eastAsia="Calibri"/>
                <w:color w:val="30343B"/>
                <w:sz w:val="17"/>
              </w:rPr>
              <w:t>Paiement natif par composante</w:t>
            </w:r>
          </w:p>
        </w:tc>
        <w:tc>
          <w:tcPr>
            <w:tcW w:type="dxa" w:w="1872"/>
            <w:tcMar>
              <w:top w:w="80" w:type="dxa"/>
              <w:start w:w="120" w:type="dxa"/>
              <w:bottom w:w="80" w:type="dxa"/>
              <w:end w:w="120" w:type="dxa"/>
            </w:tcMar>
            <w:vAlign w:val="center"/>
            <w:shd w:fill="EDF4FA"/>
          </w:tcPr>
          <w:p>
            <w:pPr>
              <w:jc w:val="center"/>
            </w:pPr>
            <w:r>
              <w:rPr>
                <w:rFonts w:ascii="Calibri" w:hAnsi="Calibri" w:eastAsia="Calibri"/>
                <w:color w:val="30343B"/>
                <w:sz w:val="17"/>
              </w:rPr>
              <w:t>Écart, validation et audit</w:t>
            </w:r>
          </w:p>
        </w:tc>
        <w:tc>
          <w:tcPr>
            <w:tcW w:type="dxa" w:w="1872"/>
            <w:tcMar>
              <w:top w:w="80" w:type="dxa"/>
              <w:start w:w="120" w:type="dxa"/>
              <w:bottom w:w="80" w:type="dxa"/>
              <w:end w:w="120" w:type="dxa"/>
            </w:tcMar>
            <w:vAlign w:val="center"/>
            <w:shd w:fill="EAF7FA"/>
          </w:tcPr>
          <w:p>
            <w:pPr>
              <w:jc w:val="center"/>
            </w:pPr>
            <w:r>
              <w:rPr>
                <w:rFonts w:ascii="Calibri" w:hAnsi="Calibri" w:eastAsia="Calibri"/>
                <w:color w:val="30343B"/>
                <w:sz w:val="17"/>
              </w:rPr>
              <w:t>Banque, rapprochement et comptabilité</w:t>
            </w:r>
          </w:p>
        </w:tc>
      </w:tr>
    </w:tbl>
    <w:p>
      <w:pPr>
        <w:spacing w:after="0"/>
      </w:pPr>
    </w:p>
    <w:p>
      <w:pPr>
        <w:pStyle w:val="Heading2"/>
      </w:pPr>
      <w:r>
        <w:t>Objets natifs réutilisés</w:t>
      </w:r>
    </w:p>
    <w:p>
      <w:pPr>
        <w:pStyle w:val="ListBullet"/>
      </w:pPr>
      <w:r>
        <w:t>Tiers, produits/services, commandes, factures, factures d’acompte et avoirs Dolibarr.</w:t>
      </w:r>
    </w:p>
    <w:p>
      <w:pPr>
        <w:pStyle w:val="ListBullet"/>
      </w:pPr>
      <w:r>
        <w:t>Paiements, comptes financiers, lignes bancaires, comptabilité et documents PDF.</w:t>
      </w:r>
    </w:p>
    <w:p>
      <w:pPr>
        <w:pStyle w:val="ListBullet"/>
      </w:pPr>
      <w:r>
        <w:t>Utilisateurs, groupes, droits, entités et terminal TakePOS.</w:t>
      </w:r>
    </w:p>
    <w:p>
      <w:pPr>
        <w:pStyle w:val="Heading2"/>
      </w:pPr>
      <w:r>
        <w:t>Données apportées par Agence</w:t>
      </w:r>
    </w:p>
    <w:p>
      <w:pPr>
        <w:pStyle w:val="ListBullet"/>
      </w:pPr>
      <w:r>
        <w:t>Référentiels agence, DAS, caisse, périmètres locaux et rôles transversaux.</w:t>
      </w:r>
    </w:p>
    <w:p>
      <w:pPr>
        <w:pStyle w:val="ListBullet"/>
      </w:pPr>
      <w:r>
        <w:t>Sessions, mouvements, comptages, clôtures, écarts, contrôles, transferts et dépôts.</w:t>
      </w:r>
    </w:p>
    <w:p>
      <w:pPr>
        <w:pStyle w:val="ListBullet"/>
      </w:pPr>
      <w:r>
        <w:t>Liens vers les factures, paiements, commandes, TakePOS et banque, sans duplication de la donnée comptable native.</w:t>
      </w:r>
    </w:p>
    <w:p>
      <w:pPr>
        <w:pStyle w:val="ListBullet"/>
      </w:pPr>
      <w:r>
        <w:t>Workflows, alertes, mappings comptables, suivi des différés, remboursements et piste d’audit.</w:t>
      </w:r>
    </w:p>
    <w:tbl>
      <w:tblPr>
        <w:tblW w:type="dxa" w:w="9360"/>
        <w:jc w:val="left"/>
        <w:tblLayout w:type="fixed"/>
        <w:tblLook w:firstColumn="1" w:firstRow="1" w:lastColumn="0" w:lastRow="0" w:noHBand="0" w:noVBand="1" w:val="04A0"/>
        <w:tblInd w:w="0" w:type="dxa"/>
      </w:tblPr>
      <w:tblGrid>
        <w:gridCol w:w="180"/>
        <w:gridCol w:w="9180"/>
      </w:tblGrid>
      <w:tr>
        <w:tc>
          <w:tcPr>
            <w:tcW w:type="dxa" w:w="180"/>
            <w:tcMar>
              <w:top w:w="80" w:type="dxa"/>
              <w:start w:w="0" w:type="dxa"/>
              <w:bottom w:w="80" w:type="dxa"/>
              <w:end w:w="0" w:type="dxa"/>
            </w:tcMar>
            <w:vAlign w:val="center"/>
            <w:shd w:fill="177245"/>
          </w:tcPr>
          <w:p/>
        </w:tc>
        <w:tc>
          <w:tcPr>
            <w:tcW w:type="dxa" w:w="9180"/>
            <w:tcMar>
              <w:top w:w="120" w:type="dxa"/>
              <w:start w:w="160" w:type="dxa"/>
              <w:bottom w:w="120" w:type="dxa"/>
              <w:end w:w="160" w:type="dxa"/>
            </w:tcMar>
            <w:vAlign w:val="center"/>
            <w:shd w:fill="EAF7EF"/>
          </w:tcPr>
          <w:p>
            <w:r>
              <w:rPr>
                <w:rFonts w:ascii="Calibri" w:hAnsi="Calibri" w:eastAsia="Calibri"/>
                <w:b/>
                <w:color w:val="283244"/>
              </w:rPr>
              <w:t>Principe directeur</w:t>
              <w:br/>
            </w:r>
            <w:r>
              <w:rPr>
                <w:rFonts w:ascii="Calibri" w:hAnsi="Calibri" w:eastAsia="Calibri"/>
                <w:color w:val="30343B"/>
                <w:sz w:val="21"/>
              </w:rPr>
              <w:t>Une seule vérité comptable dans Dolibarr ; Agence ajoute l’organisation, les contrôles et la preuve opérationnelle.</w:t>
            </w:r>
          </w:p>
        </w:tc>
      </w:tr>
    </w:tbl>
    <w:p>
      <w:pPr>
        <w:spacing w:after="0"/>
      </w:pPr>
    </w:p>
    <w:p>
      <w:r>
        <w:br w:type="page"/>
      </w:r>
    </w:p>
    <w:p>
      <w:pPr>
        <w:pStyle w:val="Heading1"/>
      </w:pPr>
      <w:r>
        <w:t>3. Carte complète des fonctionnalités</w:t>
      </w:r>
    </w:p>
    <w:p>
      <w:pPr>
        <w:spacing w:after="200"/>
      </w:pPr>
      <w:r>
        <w:rPr>
          <w:rFonts w:ascii="Calibri" w:hAnsi="Calibri" w:eastAsia="Calibri"/>
          <w:color w:val="283244"/>
          <w:sz w:val="23"/>
        </w:rPr>
        <w:t>La couverture fonctionnelle est organisée en six blocs cohérents.</w:t>
      </w:r>
    </w:p>
    <w:tbl>
      <w:tblPr>
        <w:tblW w:type="dxa" w:w="9360"/>
        <w:tblLayout w:type="fixed"/>
        <w:tblLook w:firstColumn="1" w:firstRow="1" w:lastColumn="0" w:lastRow="0" w:noHBand="0" w:noVBand="1" w:val="04A0"/>
        <w:jc w:val="left"/>
        <w:tblInd w:w="0" w:type="dxa"/>
      </w:tblPr>
      <w:tblGrid>
        <w:gridCol w:w="1800"/>
        <w:gridCol w:w="4760"/>
        <w:gridCol w:w="2800"/>
      </w:tblGrid>
      <w:tr>
        <w:trPr>
          <w:tblHeader w:val="true"/>
        </w:trPr>
        <w:tc>
          <w:tcPr>
            <w:tcW w:type="dxa" w:w="1800"/>
            <w:tcMar>
              <w:top w:w="80" w:type="dxa"/>
              <w:start w:w="120" w:type="dxa"/>
              <w:bottom w:w="80" w:type="dxa"/>
              <w:end w:w="120" w:type="dxa"/>
            </w:tcMar>
            <w:vAlign w:val="center"/>
            <w:shd w:fill="1971AC"/>
          </w:tcPr>
          <w:p>
            <w:r>
              <w:rPr>
                <w:rFonts w:ascii="Calibri" w:hAnsi="Calibri" w:eastAsia="Calibri"/>
                <w:b/>
                <w:color w:val="FFFFFF"/>
                <w:sz w:val="18"/>
              </w:rPr>
              <w:t>Bloc</w:t>
            </w:r>
          </w:p>
        </w:tc>
        <w:tc>
          <w:tcPr>
            <w:tcW w:type="dxa" w:w="4760"/>
            <w:tcMar>
              <w:top w:w="80" w:type="dxa"/>
              <w:start w:w="120" w:type="dxa"/>
              <w:bottom w:w="80" w:type="dxa"/>
              <w:end w:w="120" w:type="dxa"/>
            </w:tcMar>
            <w:vAlign w:val="center"/>
            <w:shd w:fill="1971AC"/>
          </w:tcPr>
          <w:p>
            <w:r>
              <w:rPr>
                <w:rFonts w:ascii="Calibri" w:hAnsi="Calibri" w:eastAsia="Calibri"/>
                <w:b/>
                <w:color w:val="FFFFFF"/>
                <w:sz w:val="18"/>
              </w:rPr>
              <w:t>Fonctions principales</w:t>
            </w:r>
          </w:p>
        </w:tc>
        <w:tc>
          <w:tcPr>
            <w:tcW w:type="dxa" w:w="2800"/>
            <w:tcMar>
              <w:top w:w="80" w:type="dxa"/>
              <w:start w:w="120" w:type="dxa"/>
              <w:bottom w:w="80" w:type="dxa"/>
              <w:end w:w="120" w:type="dxa"/>
            </w:tcMar>
            <w:vAlign w:val="center"/>
            <w:shd w:fill="1971AC"/>
          </w:tcPr>
          <w:p>
            <w:r>
              <w:rPr>
                <w:rFonts w:ascii="Calibri" w:hAnsi="Calibri" w:eastAsia="Calibri"/>
                <w:b/>
                <w:color w:val="FFFFFF"/>
                <w:sz w:val="18"/>
              </w:rPr>
              <w:t>Utilité</w:t>
            </w:r>
          </w:p>
        </w:tc>
      </w:tr>
      <w:tr>
        <w:tc>
          <w:tcPr>
            <w:tcW w:type="dxa" w:w="1800"/>
            <w:tcMar>
              <w:top w:w="80" w:type="dxa"/>
              <w:start w:w="120" w:type="dxa"/>
              <w:bottom w:w="80" w:type="dxa"/>
              <w:end w:w="120" w:type="dxa"/>
            </w:tcMar>
            <w:vAlign w:val="center"/>
          </w:tcPr>
          <w:p>
            <w:r>
              <w:rPr>
                <w:rFonts w:ascii="Calibri" w:hAnsi="Calibri" w:eastAsia="Calibri"/>
                <w:color w:val="30343B"/>
                <w:sz w:val="17"/>
              </w:rPr>
              <w:t>Organisation</w:t>
            </w:r>
          </w:p>
        </w:tc>
        <w:tc>
          <w:tcPr>
            <w:tcW w:type="dxa" w:w="4760"/>
            <w:tcMar>
              <w:top w:w="80" w:type="dxa"/>
              <w:start w:w="120" w:type="dxa"/>
              <w:bottom w:w="80" w:type="dxa"/>
              <w:end w:w="120" w:type="dxa"/>
            </w:tcMar>
            <w:vAlign w:val="center"/>
          </w:tcPr>
          <w:p>
            <w:r>
              <w:rPr>
                <w:rFonts w:ascii="Calibri" w:hAnsi="Calibri" w:eastAsia="Calibri"/>
                <w:color w:val="30343B"/>
                <w:sz w:val="17"/>
              </w:rPr>
              <w:t>Agences, DAS, caisses, utilisateurs, rôles transversaux</w:t>
            </w:r>
          </w:p>
        </w:tc>
        <w:tc>
          <w:tcPr>
            <w:tcW w:type="dxa" w:w="2800"/>
            <w:tcMar>
              <w:top w:w="80" w:type="dxa"/>
              <w:start w:w="120" w:type="dxa"/>
              <w:bottom w:w="80" w:type="dxa"/>
              <w:end w:w="120" w:type="dxa"/>
            </w:tcMar>
            <w:vAlign w:val="center"/>
          </w:tcPr>
          <w:p>
            <w:r>
              <w:rPr>
                <w:rFonts w:ascii="Calibri" w:hAnsi="Calibri" w:eastAsia="Calibri"/>
                <w:color w:val="30343B"/>
                <w:sz w:val="17"/>
              </w:rPr>
              <w:t>Définir qui agit, où et sur quelle activité</w:t>
            </w:r>
          </w:p>
        </w:tc>
      </w:tr>
      <w:tr>
        <w:tc>
          <w:tcPr>
            <w:tcW w:type="dxa" w:w="1800"/>
            <w:shd w:fill="F3F5F7"/>
            <w:tcMar>
              <w:top w:w="80" w:type="dxa"/>
              <w:start w:w="120" w:type="dxa"/>
              <w:bottom w:w="80" w:type="dxa"/>
              <w:end w:w="120" w:type="dxa"/>
            </w:tcMar>
            <w:vAlign w:val="center"/>
          </w:tcPr>
          <w:p>
            <w:r>
              <w:rPr>
                <w:rFonts w:ascii="Calibri" w:hAnsi="Calibri" w:eastAsia="Calibri"/>
                <w:color w:val="30343B"/>
                <w:sz w:val="17"/>
              </w:rPr>
              <w:t>Caisse</w:t>
            </w:r>
          </w:p>
        </w:tc>
        <w:tc>
          <w:tcPr>
            <w:tcW w:type="dxa" w:w="4760"/>
            <w:shd w:fill="F3F5F7"/>
            <w:tcMar>
              <w:top w:w="80" w:type="dxa"/>
              <w:start w:w="120" w:type="dxa"/>
              <w:bottom w:w="80" w:type="dxa"/>
              <w:end w:w="120" w:type="dxa"/>
            </w:tcMar>
            <w:vAlign w:val="center"/>
          </w:tcPr>
          <w:p>
            <w:r>
              <w:rPr>
                <w:rFonts w:ascii="Calibri" w:hAnsi="Calibri" w:eastAsia="Calibri"/>
                <w:color w:val="30343B"/>
                <w:sz w:val="17"/>
              </w:rPr>
              <w:t>Ouverture, pause/reprise, encaissement, comptage, clôture</w:t>
            </w:r>
          </w:p>
        </w:tc>
        <w:tc>
          <w:tcPr>
            <w:tcW w:type="dxa" w:w="2800"/>
            <w:shd w:fill="F3F5F7"/>
            <w:tcMar>
              <w:top w:w="80" w:type="dxa"/>
              <w:start w:w="120" w:type="dxa"/>
              <w:bottom w:w="80" w:type="dxa"/>
              <w:end w:w="120" w:type="dxa"/>
            </w:tcMar>
            <w:vAlign w:val="center"/>
          </w:tcPr>
          <w:p>
            <w:r>
              <w:rPr>
                <w:rFonts w:ascii="Calibri" w:hAnsi="Calibri" w:eastAsia="Calibri"/>
                <w:color w:val="30343B"/>
                <w:sz w:val="17"/>
              </w:rPr>
              <w:t>Sécuriser la journée de caisse de bout en bout</w:t>
            </w:r>
          </w:p>
        </w:tc>
      </w:tr>
      <w:tr>
        <w:tc>
          <w:tcPr>
            <w:tcW w:type="dxa" w:w="1800"/>
            <w:tcMar>
              <w:top w:w="80" w:type="dxa"/>
              <w:start w:w="120" w:type="dxa"/>
              <w:bottom w:w="80" w:type="dxa"/>
              <w:end w:w="120" w:type="dxa"/>
            </w:tcMar>
            <w:vAlign w:val="center"/>
          </w:tcPr>
          <w:p>
            <w:r>
              <w:rPr>
                <w:rFonts w:ascii="Calibri" w:hAnsi="Calibri" w:eastAsia="Calibri"/>
                <w:color w:val="30343B"/>
                <w:sz w:val="17"/>
              </w:rPr>
              <w:t>Ventes &amp; crédit</w:t>
            </w:r>
          </w:p>
        </w:tc>
        <w:tc>
          <w:tcPr>
            <w:tcW w:type="dxa" w:w="4760"/>
            <w:tcMar>
              <w:top w:w="80" w:type="dxa"/>
              <w:start w:w="120" w:type="dxa"/>
              <w:bottom w:w="80" w:type="dxa"/>
              <w:end w:w="120" w:type="dxa"/>
            </w:tcMar>
            <w:vAlign w:val="center"/>
          </w:tcPr>
          <w:p>
            <w:r>
              <w:rPr>
                <w:rFonts w:ascii="Calibri" w:hAnsi="Calibri" w:eastAsia="Calibri"/>
                <w:color w:val="30343B"/>
                <w:sz w:val="17"/>
              </w:rPr>
              <w:t>Paiements mixtes/différés, acompte client, BC, BST, instruction</w:t>
            </w:r>
          </w:p>
        </w:tc>
        <w:tc>
          <w:tcPr>
            <w:tcW w:type="dxa" w:w="2800"/>
            <w:tcMar>
              <w:top w:w="80" w:type="dxa"/>
              <w:start w:w="120" w:type="dxa"/>
              <w:bottom w:w="80" w:type="dxa"/>
              <w:end w:w="120" w:type="dxa"/>
            </w:tcMar>
            <w:vAlign w:val="center"/>
          </w:tcPr>
          <w:p>
            <w:r>
              <w:rPr>
                <w:rFonts w:ascii="Calibri" w:hAnsi="Calibri" w:eastAsia="Calibri"/>
                <w:color w:val="30343B"/>
                <w:sz w:val="17"/>
              </w:rPr>
              <w:t>Traiter les ventes immédiates et encadrer les dérogations</w:t>
            </w:r>
          </w:p>
        </w:tc>
      </w:tr>
      <w:tr>
        <w:tc>
          <w:tcPr>
            <w:tcW w:type="dxa" w:w="1800"/>
            <w:shd w:fill="F3F5F7"/>
            <w:tcMar>
              <w:top w:w="80" w:type="dxa"/>
              <w:start w:w="120" w:type="dxa"/>
              <w:bottom w:w="80" w:type="dxa"/>
              <w:end w:w="120" w:type="dxa"/>
            </w:tcMar>
            <w:vAlign w:val="center"/>
          </w:tcPr>
          <w:p>
            <w:r>
              <w:rPr>
                <w:rFonts w:ascii="Calibri" w:hAnsi="Calibri" w:eastAsia="Calibri"/>
                <w:color w:val="30343B"/>
                <w:sz w:val="17"/>
              </w:rPr>
              <w:t>Avoirs &amp; remboursements</w:t>
            </w:r>
          </w:p>
        </w:tc>
        <w:tc>
          <w:tcPr>
            <w:tcW w:type="dxa" w:w="4760"/>
            <w:shd w:fill="F3F5F7"/>
            <w:tcMar>
              <w:top w:w="80" w:type="dxa"/>
              <w:start w:w="120" w:type="dxa"/>
              <w:bottom w:w="80" w:type="dxa"/>
              <w:end w:w="120" w:type="dxa"/>
            </w:tcMar>
            <w:vAlign w:val="center"/>
          </w:tcPr>
          <w:p>
            <w:r>
              <w:rPr>
                <w:rFonts w:ascii="Calibri" w:hAnsi="Calibri" w:eastAsia="Calibri"/>
                <w:color w:val="30343B"/>
                <w:sz w:val="17"/>
              </w:rPr>
              <w:t>Demande, validation, rejet, exécution, anti-surremboursement</w:t>
            </w:r>
          </w:p>
        </w:tc>
        <w:tc>
          <w:tcPr>
            <w:tcW w:type="dxa" w:w="2800"/>
            <w:shd w:fill="F3F5F7"/>
            <w:tcMar>
              <w:top w:w="80" w:type="dxa"/>
              <w:start w:w="120" w:type="dxa"/>
              <w:bottom w:w="80" w:type="dxa"/>
              <w:end w:w="120" w:type="dxa"/>
            </w:tcMar>
            <w:vAlign w:val="center"/>
          </w:tcPr>
          <w:p>
            <w:r>
              <w:rPr>
                <w:rFonts w:ascii="Calibri" w:hAnsi="Calibri" w:eastAsia="Calibri"/>
                <w:color w:val="30343B"/>
                <w:sz w:val="17"/>
              </w:rPr>
              <w:t>Distinguer correction commerciale et sortie de trésorerie</w:t>
            </w:r>
          </w:p>
        </w:tc>
      </w:tr>
      <w:tr>
        <w:tc>
          <w:tcPr>
            <w:tcW w:type="dxa" w:w="1800"/>
            <w:tcMar>
              <w:top w:w="80" w:type="dxa"/>
              <w:start w:w="120" w:type="dxa"/>
              <w:bottom w:w="80" w:type="dxa"/>
              <w:end w:w="120" w:type="dxa"/>
            </w:tcMar>
            <w:vAlign w:val="center"/>
          </w:tcPr>
          <w:p>
            <w:r>
              <w:rPr>
                <w:rFonts w:ascii="Calibri" w:hAnsi="Calibri" w:eastAsia="Calibri"/>
                <w:color w:val="30343B"/>
                <w:sz w:val="17"/>
              </w:rPr>
              <w:t>Trésorerie &amp; contrôle</w:t>
            </w:r>
          </w:p>
        </w:tc>
        <w:tc>
          <w:tcPr>
            <w:tcW w:type="dxa" w:w="4760"/>
            <w:tcMar>
              <w:top w:w="80" w:type="dxa"/>
              <w:start w:w="120" w:type="dxa"/>
              <w:bottom w:w="80" w:type="dxa"/>
              <w:end w:w="120" w:type="dxa"/>
            </w:tcMar>
            <w:vAlign w:val="center"/>
          </w:tcPr>
          <w:p>
            <w:r>
              <w:rPr>
                <w:rFonts w:ascii="Calibri" w:hAnsi="Calibri" w:eastAsia="Calibri"/>
                <w:color w:val="30343B"/>
                <w:sz w:val="17"/>
              </w:rPr>
              <w:t>Contrôle inopiné, gel, coffre, dépôt banque, rapprochement</w:t>
            </w:r>
          </w:p>
        </w:tc>
        <w:tc>
          <w:tcPr>
            <w:tcW w:type="dxa" w:w="2800"/>
            <w:tcMar>
              <w:top w:w="80" w:type="dxa"/>
              <w:start w:w="120" w:type="dxa"/>
              <w:bottom w:w="80" w:type="dxa"/>
              <w:end w:w="120" w:type="dxa"/>
            </w:tcMar>
            <w:vAlign w:val="center"/>
          </w:tcPr>
          <w:p>
            <w:r>
              <w:rPr>
                <w:rFonts w:ascii="Calibri" w:hAnsi="Calibri" w:eastAsia="Calibri"/>
                <w:color w:val="30343B"/>
                <w:sz w:val="17"/>
              </w:rPr>
              <w:t>Garantir l’existence et la destination des fonds</w:t>
            </w:r>
          </w:p>
        </w:tc>
      </w:tr>
      <w:tr>
        <w:tc>
          <w:tcPr>
            <w:tcW w:type="dxa" w:w="1800"/>
            <w:shd w:fill="F3F5F7"/>
            <w:tcMar>
              <w:top w:w="80" w:type="dxa"/>
              <w:start w:w="120" w:type="dxa"/>
              <w:bottom w:w="80" w:type="dxa"/>
              <w:end w:w="120" w:type="dxa"/>
            </w:tcMar>
            <w:vAlign w:val="center"/>
          </w:tcPr>
          <w:p>
            <w:r>
              <w:rPr>
                <w:rFonts w:ascii="Calibri" w:hAnsi="Calibri" w:eastAsia="Calibri"/>
                <w:color w:val="30343B"/>
                <w:sz w:val="17"/>
              </w:rPr>
              <w:t>Pilotage &amp; conformité</w:t>
            </w:r>
          </w:p>
        </w:tc>
        <w:tc>
          <w:tcPr>
            <w:tcW w:type="dxa" w:w="4760"/>
            <w:shd w:fill="F3F5F7"/>
            <w:tcMar>
              <w:top w:w="80" w:type="dxa"/>
              <w:start w:w="120" w:type="dxa"/>
              <w:bottom w:w="80" w:type="dxa"/>
              <w:end w:w="120" w:type="dxa"/>
            </w:tcMar>
            <w:vAlign w:val="center"/>
          </w:tcPr>
          <w:p>
            <w:r>
              <w:rPr>
                <w:rFonts w:ascii="Calibri" w:hAnsi="Calibri" w:eastAsia="Calibri"/>
                <w:color w:val="30343B"/>
                <w:sz w:val="17"/>
              </w:rPr>
              <w:t>Validations, alertes, reporting, CSV, PDF, audit, comptabilité</w:t>
            </w:r>
          </w:p>
        </w:tc>
        <w:tc>
          <w:tcPr>
            <w:tcW w:type="dxa" w:w="2800"/>
            <w:shd w:fill="F3F5F7"/>
            <w:tcMar>
              <w:top w:w="80" w:type="dxa"/>
              <w:start w:w="120" w:type="dxa"/>
              <w:bottom w:w="80" w:type="dxa"/>
              <w:end w:w="120" w:type="dxa"/>
            </w:tcMar>
            <w:vAlign w:val="center"/>
          </w:tcPr>
          <w:p>
            <w:r>
              <w:rPr>
                <w:rFonts w:ascii="Calibri" w:hAnsi="Calibri" w:eastAsia="Calibri"/>
                <w:color w:val="30343B"/>
                <w:sz w:val="17"/>
              </w:rPr>
              <w:t>Décider, justifier et consolider</w:t>
            </w:r>
          </w:p>
        </w:tc>
      </w:tr>
    </w:tbl>
    <w:p>
      <w:pPr>
        <w:spacing w:after="0"/>
      </w:pPr>
    </w:p>
    <w:p>
      <w:pPr>
        <w:pStyle w:val="Heading2"/>
      </w:pPr>
      <w:r>
        <w:t>Encaissements natifs et multi-modes</w:t>
      </w:r>
    </w:p>
    <w:p>
      <w:r>
        <w:rPr>
          <w:rFonts w:ascii="Calibri" w:hAnsi="Calibri" w:eastAsia="Calibri"/>
        </w:rPr>
        <w:t>Un règlement réel peut être ventilé en espèces, carte, chèque, mobile, autre mode ou composante différée. Chaque composante immédiate génère un paiement Dolibarr natif et utilise le compte financier prévu pour ce mode. Le module conserve le lien agence/caisse/session/DAS pour le suivi et les restitutions.</w:t>
      </w:r>
    </w:p>
    <w:p>
      <w:pPr>
        <w:pStyle w:val="Heading2"/>
      </w:pPr>
      <w:r>
        <w:t>Acompte client</w:t>
      </w:r>
    </w:p>
    <w:p>
      <w:r>
        <w:rPr>
          <w:rFonts w:ascii="Calibri" w:hAnsi="Calibri" w:eastAsia="Calibri"/>
        </w:rPr>
        <w:t>L’enregistrement d’un acompte crée une facture d’acompte Dolibarr, puis l’encaissement associé. Le montant reste rattaché au client et au contexte opérationnel.</w:t>
      </w:r>
    </w:p>
    <w:p>
      <w:r>
        <w:br w:type="page"/>
      </w:r>
    </w:p>
    <w:p>
      <w:pPr>
        <w:pStyle w:val="Heading1"/>
      </w:pPr>
      <w:r>
        <w:t>4. Les parcours métier clés</w:t>
      </w:r>
    </w:p>
    <w:p>
      <w:pPr>
        <w:spacing w:after="200"/>
      </w:pPr>
      <w:r>
        <w:rPr>
          <w:rFonts w:ascii="Calibri" w:hAnsi="Calibri" w:eastAsia="Calibri"/>
          <w:color w:val="283244"/>
          <w:sz w:val="23"/>
        </w:rPr>
        <w:t>Chaque parcours applique les droits, le périmètre, l’état de session et les règles de validation.</w:t>
      </w:r>
    </w:p>
    <w:p>
      <w:pPr>
        <w:pStyle w:val="Heading2"/>
      </w:pPr>
      <w:r>
        <w:t>Journée de caisse</w:t>
      </w:r>
    </w:p>
    <w:tbl>
      <w:tblPr>
        <w:tblW w:type="dxa" w:w="9360"/>
        <w:jc w:val="left"/>
        <w:tblLayout w:type="fixed"/>
        <w:tblLook w:firstColumn="1" w:firstRow="1" w:lastColumn="0" w:lastRow="0" w:noHBand="0" w:noVBand="1" w:val="04A0"/>
        <w:tblInd w:w="0" w:type="dxa"/>
      </w:tblPr>
      <w:tblGrid>
        <w:gridCol w:w="1872"/>
        <w:gridCol w:w="1872"/>
        <w:gridCol w:w="1872"/>
        <w:gridCol w:w="1872"/>
        <w:gridCol w:w="1872"/>
      </w:tblGrid>
      <w:tr>
        <w:tc>
          <w:tcPr>
            <w:tcW w:type="dxa" w:w="1872"/>
            <w:tcMar>
              <w:top w:w="80" w:type="dxa"/>
              <w:start w:w="120" w:type="dxa"/>
              <w:bottom w:w="80" w:type="dxa"/>
              <w:end w:w="120" w:type="dxa"/>
            </w:tcMar>
            <w:vAlign w:val="center"/>
            <w:shd w:fill="20A4C2"/>
          </w:tcPr>
          <w:p>
            <w:pPr>
              <w:jc w:val="center"/>
            </w:pPr>
            <w:r>
              <w:rPr>
                <w:rFonts w:ascii="Calibri" w:hAnsi="Calibri" w:eastAsia="Calibri"/>
                <w:b/>
                <w:color w:val="FFFFFF"/>
                <w:sz w:val="18"/>
              </w:rPr>
              <w:t>1. Ouvrir</w:t>
            </w:r>
          </w:p>
        </w:tc>
        <w:tc>
          <w:tcPr>
            <w:tcW w:type="dxa" w:w="1872"/>
            <w:tcMar>
              <w:top w:w="80" w:type="dxa"/>
              <w:start w:w="120" w:type="dxa"/>
              <w:bottom w:w="80" w:type="dxa"/>
              <w:end w:w="120" w:type="dxa"/>
            </w:tcMar>
            <w:vAlign w:val="center"/>
            <w:shd w:fill="1971AC"/>
          </w:tcPr>
          <w:p>
            <w:pPr>
              <w:jc w:val="center"/>
            </w:pPr>
            <w:r>
              <w:rPr>
                <w:rFonts w:ascii="Calibri" w:hAnsi="Calibri" w:eastAsia="Calibri"/>
                <w:b/>
                <w:color w:val="FFFFFF"/>
                <w:sz w:val="18"/>
              </w:rPr>
              <w:t>2. Exploiter</w:t>
            </w:r>
          </w:p>
        </w:tc>
        <w:tc>
          <w:tcPr>
            <w:tcW w:type="dxa" w:w="1872"/>
            <w:tcMar>
              <w:top w:w="80" w:type="dxa"/>
              <w:start w:w="120" w:type="dxa"/>
              <w:bottom w:w="80" w:type="dxa"/>
              <w:end w:w="120" w:type="dxa"/>
            </w:tcMar>
            <w:vAlign w:val="center"/>
            <w:shd w:fill="20A4C2"/>
          </w:tcPr>
          <w:p>
            <w:pPr>
              <w:jc w:val="center"/>
            </w:pPr>
            <w:r>
              <w:rPr>
                <w:rFonts w:ascii="Calibri" w:hAnsi="Calibri" w:eastAsia="Calibri"/>
                <w:b/>
                <w:color w:val="FFFFFF"/>
                <w:sz w:val="18"/>
              </w:rPr>
              <w:t>3. Compter</w:t>
            </w:r>
          </w:p>
        </w:tc>
        <w:tc>
          <w:tcPr>
            <w:tcW w:type="dxa" w:w="1872"/>
            <w:tcMar>
              <w:top w:w="80" w:type="dxa"/>
              <w:start w:w="120" w:type="dxa"/>
              <w:bottom w:w="80" w:type="dxa"/>
              <w:end w:w="120" w:type="dxa"/>
            </w:tcMar>
            <w:vAlign w:val="center"/>
            <w:shd w:fill="1971AC"/>
          </w:tcPr>
          <w:p>
            <w:pPr>
              <w:jc w:val="center"/>
            </w:pPr>
            <w:r>
              <w:rPr>
                <w:rFonts w:ascii="Calibri" w:hAnsi="Calibri" w:eastAsia="Calibri"/>
                <w:b/>
                <w:color w:val="FFFFFF"/>
                <w:sz w:val="18"/>
              </w:rPr>
              <w:t>4. Clôturer</w:t>
            </w:r>
          </w:p>
        </w:tc>
        <w:tc>
          <w:tcPr>
            <w:tcW w:type="dxa" w:w="1872"/>
            <w:tcMar>
              <w:top w:w="80" w:type="dxa"/>
              <w:start w:w="120" w:type="dxa"/>
              <w:bottom w:w="80" w:type="dxa"/>
              <w:end w:w="120" w:type="dxa"/>
            </w:tcMar>
            <w:vAlign w:val="center"/>
            <w:shd w:fill="20A4C2"/>
          </w:tcPr>
          <w:p>
            <w:pPr>
              <w:jc w:val="center"/>
            </w:pPr>
            <w:r>
              <w:rPr>
                <w:rFonts w:ascii="Calibri" w:hAnsi="Calibri" w:eastAsia="Calibri"/>
                <w:b/>
                <w:color w:val="FFFFFF"/>
                <w:sz w:val="18"/>
              </w:rPr>
              <w:t>5. Valider</w:t>
            </w:r>
          </w:p>
        </w:tc>
      </w:tr>
      <w:tr>
        <w:tc>
          <w:tcPr>
            <w:tcW w:type="dxa" w:w="1872"/>
            <w:tcMar>
              <w:top w:w="80" w:type="dxa"/>
              <w:start w:w="120" w:type="dxa"/>
              <w:bottom w:w="80" w:type="dxa"/>
              <w:end w:w="120" w:type="dxa"/>
            </w:tcMar>
            <w:vAlign w:val="center"/>
            <w:shd w:fill="EAF7FA"/>
          </w:tcPr>
          <w:p>
            <w:pPr>
              <w:jc w:val="center"/>
            </w:pPr>
            <w:r>
              <w:rPr>
                <w:rFonts w:ascii="Calibri" w:hAnsi="Calibri" w:eastAsia="Calibri"/>
                <w:color w:val="30343B"/>
                <w:sz w:val="17"/>
              </w:rPr>
              <w:t>Fond initial et identité du caissier</w:t>
            </w:r>
          </w:p>
        </w:tc>
        <w:tc>
          <w:tcPr>
            <w:tcW w:type="dxa" w:w="1872"/>
            <w:tcMar>
              <w:top w:w="80" w:type="dxa"/>
              <w:start w:w="120" w:type="dxa"/>
              <w:bottom w:w="80" w:type="dxa"/>
              <w:end w:w="120" w:type="dxa"/>
            </w:tcMar>
            <w:vAlign w:val="center"/>
            <w:shd w:fill="EDF4FA"/>
          </w:tcPr>
          <w:p>
            <w:pPr>
              <w:jc w:val="center"/>
            </w:pPr>
            <w:r>
              <w:rPr>
                <w:rFonts w:ascii="Calibri" w:hAnsi="Calibri" w:eastAsia="Calibri"/>
                <w:color w:val="30343B"/>
                <w:sz w:val="17"/>
              </w:rPr>
              <w:t>Encaissements et mouvements</w:t>
            </w:r>
          </w:p>
        </w:tc>
        <w:tc>
          <w:tcPr>
            <w:tcW w:type="dxa" w:w="1872"/>
            <w:tcMar>
              <w:top w:w="80" w:type="dxa"/>
              <w:start w:w="120" w:type="dxa"/>
              <w:bottom w:w="80" w:type="dxa"/>
              <w:end w:w="120" w:type="dxa"/>
            </w:tcMar>
            <w:vAlign w:val="center"/>
            <w:shd w:fill="EAF7FA"/>
          </w:tcPr>
          <w:p>
            <w:pPr>
              <w:jc w:val="center"/>
            </w:pPr>
            <w:r>
              <w:rPr>
                <w:rFonts w:ascii="Calibri" w:hAnsi="Calibri" w:eastAsia="Calibri"/>
                <w:color w:val="30343B"/>
                <w:sz w:val="17"/>
              </w:rPr>
              <w:t>Détail par coupure et par mode</w:t>
            </w:r>
          </w:p>
        </w:tc>
        <w:tc>
          <w:tcPr>
            <w:tcW w:type="dxa" w:w="1872"/>
            <w:tcMar>
              <w:top w:w="80" w:type="dxa"/>
              <w:start w:w="120" w:type="dxa"/>
              <w:bottom w:w="80" w:type="dxa"/>
              <w:end w:w="120" w:type="dxa"/>
            </w:tcMar>
            <w:vAlign w:val="center"/>
            <w:shd w:fill="EDF4FA"/>
          </w:tcPr>
          <w:p>
            <w:pPr>
              <w:jc w:val="center"/>
            </w:pPr>
            <w:r>
              <w:rPr>
                <w:rFonts w:ascii="Calibri" w:hAnsi="Calibri" w:eastAsia="Calibri"/>
                <w:color w:val="30343B"/>
                <w:sz w:val="17"/>
              </w:rPr>
              <w:t>Montant théorique, physique et écart</w:t>
            </w:r>
          </w:p>
        </w:tc>
        <w:tc>
          <w:tcPr>
            <w:tcW w:type="dxa" w:w="1872"/>
            <w:tcMar>
              <w:top w:w="80" w:type="dxa"/>
              <w:start w:w="120" w:type="dxa"/>
              <w:bottom w:w="80" w:type="dxa"/>
              <w:end w:w="120" w:type="dxa"/>
            </w:tcMar>
            <w:vAlign w:val="center"/>
            <w:shd w:fill="EAF7FA"/>
          </w:tcPr>
          <w:p>
            <w:pPr>
              <w:jc w:val="center"/>
            </w:pPr>
            <w:r>
              <w:rPr>
                <w:rFonts w:ascii="Calibri" w:hAnsi="Calibri" w:eastAsia="Calibri"/>
                <w:color w:val="30343B"/>
                <w:sz w:val="17"/>
              </w:rPr>
              <w:t>Visa, comptabilisation et archivage</w:t>
            </w:r>
          </w:p>
        </w:tc>
      </w:tr>
    </w:tbl>
    <w:p>
      <w:pPr>
        <w:spacing w:after="0"/>
      </w:pPr>
    </w:p>
    <w:p>
      <w:pPr>
        <w:pStyle w:val="Heading2"/>
      </w:pPr>
      <w:r>
        <w:t>Remboursement</w:t>
      </w:r>
    </w:p>
    <w:tbl>
      <w:tblPr>
        <w:tblW w:type="dxa" w:w="9360"/>
        <w:jc w:val="left"/>
        <w:tblLayout w:type="fixed"/>
        <w:tblLook w:firstColumn="1" w:firstRow="1" w:lastColumn="0" w:lastRow="0" w:noHBand="0" w:noVBand="1" w:val="04A0"/>
        <w:tblInd w:w="0" w:type="dxa"/>
      </w:tblPr>
      <w:tblGrid>
        <w:gridCol w:w="1872"/>
        <w:gridCol w:w="1872"/>
        <w:gridCol w:w="1872"/>
        <w:gridCol w:w="1872"/>
        <w:gridCol w:w="1872"/>
      </w:tblGrid>
      <w:tr>
        <w:tc>
          <w:tcPr>
            <w:tcW w:type="dxa" w:w="1872"/>
            <w:tcMar>
              <w:top w:w="80" w:type="dxa"/>
              <w:start w:w="120" w:type="dxa"/>
              <w:bottom w:w="80" w:type="dxa"/>
              <w:end w:w="120" w:type="dxa"/>
            </w:tcMar>
            <w:vAlign w:val="center"/>
            <w:shd w:fill="20A4C2"/>
          </w:tcPr>
          <w:p>
            <w:pPr>
              <w:jc w:val="center"/>
            </w:pPr>
            <w:r>
              <w:rPr>
                <w:rFonts w:ascii="Calibri" w:hAnsi="Calibri" w:eastAsia="Calibri"/>
                <w:b/>
                <w:color w:val="FFFFFF"/>
                <w:sz w:val="18"/>
              </w:rPr>
              <w:t>1. Demander</w:t>
            </w:r>
          </w:p>
        </w:tc>
        <w:tc>
          <w:tcPr>
            <w:tcW w:type="dxa" w:w="1872"/>
            <w:tcMar>
              <w:top w:w="80" w:type="dxa"/>
              <w:start w:w="120" w:type="dxa"/>
              <w:bottom w:w="80" w:type="dxa"/>
              <w:end w:w="120" w:type="dxa"/>
            </w:tcMar>
            <w:vAlign w:val="center"/>
            <w:shd w:fill="1971AC"/>
          </w:tcPr>
          <w:p>
            <w:pPr>
              <w:jc w:val="center"/>
            </w:pPr>
            <w:r>
              <w:rPr>
                <w:rFonts w:ascii="Calibri" w:hAnsi="Calibri" w:eastAsia="Calibri"/>
                <w:b/>
                <w:color w:val="FFFFFF"/>
                <w:sz w:val="18"/>
              </w:rPr>
              <w:t>2. Contrôler</w:t>
            </w:r>
          </w:p>
        </w:tc>
        <w:tc>
          <w:tcPr>
            <w:tcW w:type="dxa" w:w="1872"/>
            <w:tcMar>
              <w:top w:w="80" w:type="dxa"/>
              <w:start w:w="120" w:type="dxa"/>
              <w:bottom w:w="80" w:type="dxa"/>
              <w:end w:w="120" w:type="dxa"/>
            </w:tcMar>
            <w:vAlign w:val="center"/>
            <w:shd w:fill="20A4C2"/>
          </w:tcPr>
          <w:p>
            <w:pPr>
              <w:jc w:val="center"/>
            </w:pPr>
            <w:r>
              <w:rPr>
                <w:rFonts w:ascii="Calibri" w:hAnsi="Calibri" w:eastAsia="Calibri"/>
                <w:b/>
                <w:color w:val="FFFFFF"/>
                <w:sz w:val="18"/>
              </w:rPr>
              <w:t>3. Valider</w:t>
            </w:r>
          </w:p>
        </w:tc>
        <w:tc>
          <w:tcPr>
            <w:tcW w:type="dxa" w:w="1872"/>
            <w:tcMar>
              <w:top w:w="80" w:type="dxa"/>
              <w:start w:w="120" w:type="dxa"/>
              <w:bottom w:w="80" w:type="dxa"/>
              <w:end w:w="120" w:type="dxa"/>
            </w:tcMar>
            <w:vAlign w:val="center"/>
            <w:shd w:fill="1971AC"/>
          </w:tcPr>
          <w:p>
            <w:pPr>
              <w:jc w:val="center"/>
            </w:pPr>
            <w:r>
              <w:rPr>
                <w:rFonts w:ascii="Calibri" w:hAnsi="Calibri" w:eastAsia="Calibri"/>
                <w:b/>
                <w:color w:val="FFFFFF"/>
                <w:sz w:val="18"/>
              </w:rPr>
              <w:t>4. Exécuter</w:t>
            </w:r>
          </w:p>
        </w:tc>
        <w:tc>
          <w:tcPr>
            <w:tcW w:type="dxa" w:w="1872"/>
            <w:tcMar>
              <w:top w:w="80" w:type="dxa"/>
              <w:start w:w="120" w:type="dxa"/>
              <w:bottom w:w="80" w:type="dxa"/>
              <w:end w:w="120" w:type="dxa"/>
            </w:tcMar>
            <w:vAlign w:val="center"/>
            <w:shd w:fill="20A4C2"/>
          </w:tcPr>
          <w:p>
            <w:pPr>
              <w:jc w:val="center"/>
            </w:pPr>
            <w:r>
              <w:rPr>
                <w:rFonts w:ascii="Calibri" w:hAnsi="Calibri" w:eastAsia="Calibri"/>
                <w:b/>
                <w:color w:val="FFFFFF"/>
                <w:sz w:val="18"/>
              </w:rPr>
              <w:t>5. Auditer</w:t>
            </w:r>
          </w:p>
        </w:tc>
      </w:tr>
      <w:tr>
        <w:tc>
          <w:tcPr>
            <w:tcW w:type="dxa" w:w="1872"/>
            <w:tcMar>
              <w:top w:w="80" w:type="dxa"/>
              <w:start w:w="120" w:type="dxa"/>
              <w:bottom w:w="80" w:type="dxa"/>
              <w:end w:w="120" w:type="dxa"/>
            </w:tcMar>
            <w:vAlign w:val="center"/>
            <w:shd w:fill="EAF7FA"/>
          </w:tcPr>
          <w:p>
            <w:pPr>
              <w:jc w:val="center"/>
            </w:pPr>
            <w:r>
              <w:rPr>
                <w:rFonts w:ascii="Calibri" w:hAnsi="Calibri" w:eastAsia="Calibri"/>
                <w:color w:val="30343B"/>
                <w:sz w:val="17"/>
              </w:rPr>
              <w:t>Facture, montant et motif</w:t>
            </w:r>
          </w:p>
        </w:tc>
        <w:tc>
          <w:tcPr>
            <w:tcW w:type="dxa" w:w="1872"/>
            <w:tcMar>
              <w:top w:w="80" w:type="dxa"/>
              <w:start w:w="120" w:type="dxa"/>
              <w:bottom w:w="80" w:type="dxa"/>
              <w:end w:w="120" w:type="dxa"/>
            </w:tcMar>
            <w:vAlign w:val="center"/>
            <w:shd w:fill="EDF4FA"/>
          </w:tcPr>
          <w:p>
            <w:pPr>
              <w:jc w:val="center"/>
            </w:pPr>
            <w:r>
              <w:rPr>
                <w:rFonts w:ascii="Calibri" w:hAnsi="Calibri" w:eastAsia="Calibri"/>
                <w:color w:val="30343B"/>
                <w:sz w:val="17"/>
              </w:rPr>
              <w:t>Éligibilité et cumul remboursé</w:t>
            </w:r>
          </w:p>
        </w:tc>
        <w:tc>
          <w:tcPr>
            <w:tcW w:type="dxa" w:w="1872"/>
            <w:tcMar>
              <w:top w:w="80" w:type="dxa"/>
              <w:start w:w="120" w:type="dxa"/>
              <w:bottom w:w="80" w:type="dxa"/>
              <w:end w:w="120" w:type="dxa"/>
            </w:tcMar>
            <w:vAlign w:val="center"/>
            <w:shd w:fill="EAF7FA"/>
          </w:tcPr>
          <w:p>
            <w:pPr>
              <w:jc w:val="center"/>
            </w:pPr>
            <w:r>
              <w:rPr>
                <w:rFonts w:ascii="Calibri" w:hAnsi="Calibri" w:eastAsia="Calibri"/>
                <w:color w:val="30343B"/>
                <w:sz w:val="17"/>
              </w:rPr>
              <w:t>Séparation des tâches</w:t>
            </w:r>
          </w:p>
        </w:tc>
        <w:tc>
          <w:tcPr>
            <w:tcW w:type="dxa" w:w="1872"/>
            <w:tcMar>
              <w:top w:w="80" w:type="dxa"/>
              <w:start w:w="120" w:type="dxa"/>
              <w:bottom w:w="80" w:type="dxa"/>
              <w:end w:w="120" w:type="dxa"/>
            </w:tcMar>
            <w:vAlign w:val="center"/>
            <w:shd w:fill="EDF4FA"/>
          </w:tcPr>
          <w:p>
            <w:pPr>
              <w:jc w:val="center"/>
            </w:pPr>
            <w:r>
              <w:rPr>
                <w:rFonts w:ascii="Calibri" w:hAnsi="Calibri" w:eastAsia="Calibri"/>
                <w:color w:val="30343B"/>
                <w:sz w:val="17"/>
              </w:rPr>
              <w:t>Avoir et sortie financière</w:t>
            </w:r>
          </w:p>
        </w:tc>
        <w:tc>
          <w:tcPr>
            <w:tcW w:type="dxa" w:w="1872"/>
            <w:tcMar>
              <w:top w:w="80" w:type="dxa"/>
              <w:start w:w="120" w:type="dxa"/>
              <w:bottom w:w="80" w:type="dxa"/>
              <w:end w:w="120" w:type="dxa"/>
            </w:tcMar>
            <w:vAlign w:val="center"/>
            <w:shd w:fill="EAF7FA"/>
          </w:tcPr>
          <w:p>
            <w:pPr>
              <w:jc w:val="center"/>
            </w:pPr>
            <w:r>
              <w:rPr>
                <w:rFonts w:ascii="Calibri" w:hAnsi="Calibri" w:eastAsia="Calibri"/>
                <w:color w:val="30343B"/>
                <w:sz w:val="17"/>
              </w:rPr>
              <w:t>Liens et preuve de décision</w:t>
            </w:r>
          </w:p>
        </w:tc>
      </w:tr>
    </w:tbl>
    <w:p>
      <w:pPr>
        <w:spacing w:after="0"/>
      </w:pPr>
    </w:p>
    <w:p>
      <w:pPr>
        <w:pStyle w:val="Heading2"/>
      </w:pPr>
      <w:r>
        <w:t>Dépôt banque</w:t>
      </w:r>
    </w:p>
    <w:tbl>
      <w:tblPr>
        <w:tblW w:type="dxa" w:w="9360"/>
        <w:jc w:val="left"/>
        <w:tblLayout w:type="fixed"/>
        <w:tblLook w:firstColumn="1" w:firstRow="1" w:lastColumn="0" w:lastRow="0" w:noHBand="0" w:noVBand="1" w:val="04A0"/>
        <w:tblInd w:w="0" w:type="dxa"/>
      </w:tblPr>
      <w:tblGrid>
        <w:gridCol w:w="1872"/>
        <w:gridCol w:w="1872"/>
        <w:gridCol w:w="1872"/>
        <w:gridCol w:w="1872"/>
        <w:gridCol w:w="1872"/>
      </w:tblGrid>
      <w:tr>
        <w:tc>
          <w:tcPr>
            <w:tcW w:type="dxa" w:w="1872"/>
            <w:tcMar>
              <w:top w:w="80" w:type="dxa"/>
              <w:start w:w="120" w:type="dxa"/>
              <w:bottom w:w="80" w:type="dxa"/>
              <w:end w:w="120" w:type="dxa"/>
            </w:tcMar>
            <w:vAlign w:val="center"/>
            <w:shd w:fill="20A4C2"/>
          </w:tcPr>
          <w:p>
            <w:pPr>
              <w:jc w:val="center"/>
            </w:pPr>
            <w:r>
              <w:rPr>
                <w:rFonts w:ascii="Calibri" w:hAnsi="Calibri" w:eastAsia="Calibri"/>
                <w:b/>
                <w:color w:val="FFFFFF"/>
                <w:sz w:val="18"/>
              </w:rPr>
              <w:t>1. Préparer</w:t>
            </w:r>
          </w:p>
        </w:tc>
        <w:tc>
          <w:tcPr>
            <w:tcW w:type="dxa" w:w="1872"/>
            <w:tcMar>
              <w:top w:w="80" w:type="dxa"/>
              <w:start w:w="120" w:type="dxa"/>
              <w:bottom w:w="80" w:type="dxa"/>
              <w:end w:w="120" w:type="dxa"/>
            </w:tcMar>
            <w:vAlign w:val="center"/>
            <w:shd w:fill="1971AC"/>
          </w:tcPr>
          <w:p>
            <w:pPr>
              <w:jc w:val="center"/>
            </w:pPr>
            <w:r>
              <w:rPr>
                <w:rFonts w:ascii="Calibri" w:hAnsi="Calibri" w:eastAsia="Calibri"/>
                <w:b/>
                <w:color w:val="FFFFFF"/>
                <w:sz w:val="18"/>
              </w:rPr>
              <w:t>2. Déposer</w:t>
            </w:r>
          </w:p>
        </w:tc>
        <w:tc>
          <w:tcPr>
            <w:tcW w:type="dxa" w:w="1872"/>
            <w:tcMar>
              <w:top w:w="80" w:type="dxa"/>
              <w:start w:w="120" w:type="dxa"/>
              <w:bottom w:w="80" w:type="dxa"/>
              <w:end w:w="120" w:type="dxa"/>
            </w:tcMar>
            <w:vAlign w:val="center"/>
            <w:shd w:fill="20A4C2"/>
          </w:tcPr>
          <w:p>
            <w:pPr>
              <w:jc w:val="center"/>
            </w:pPr>
            <w:r>
              <w:rPr>
                <w:rFonts w:ascii="Calibri" w:hAnsi="Calibri" w:eastAsia="Calibri"/>
                <w:b/>
                <w:color w:val="FFFFFF"/>
                <w:sz w:val="18"/>
              </w:rPr>
              <w:t>3. Justifier</w:t>
            </w:r>
          </w:p>
        </w:tc>
        <w:tc>
          <w:tcPr>
            <w:tcW w:type="dxa" w:w="1872"/>
            <w:tcMar>
              <w:top w:w="80" w:type="dxa"/>
              <w:start w:w="120" w:type="dxa"/>
              <w:bottom w:w="80" w:type="dxa"/>
              <w:end w:w="120" w:type="dxa"/>
            </w:tcMar>
            <w:vAlign w:val="center"/>
            <w:shd w:fill="1971AC"/>
          </w:tcPr>
          <w:p>
            <w:pPr>
              <w:jc w:val="center"/>
            </w:pPr>
            <w:r>
              <w:rPr>
                <w:rFonts w:ascii="Calibri" w:hAnsi="Calibri" w:eastAsia="Calibri"/>
                <w:b/>
                <w:color w:val="FFFFFF"/>
                <w:sz w:val="18"/>
              </w:rPr>
              <w:t>4. Rapprocher</w:t>
            </w:r>
          </w:p>
        </w:tc>
        <w:tc>
          <w:tcPr>
            <w:tcW w:type="dxa" w:w="1872"/>
            <w:tcMar>
              <w:top w:w="80" w:type="dxa"/>
              <w:start w:w="120" w:type="dxa"/>
              <w:bottom w:w="80" w:type="dxa"/>
              <w:end w:w="120" w:type="dxa"/>
            </w:tcMar>
            <w:vAlign w:val="center"/>
            <w:shd w:fill="20A4C2"/>
          </w:tcPr>
          <w:p>
            <w:pPr>
              <w:jc w:val="center"/>
            </w:pPr>
            <w:r>
              <w:rPr>
                <w:rFonts w:ascii="Calibri" w:hAnsi="Calibri" w:eastAsia="Calibri"/>
                <w:b/>
                <w:color w:val="FFFFFF"/>
                <w:sz w:val="18"/>
              </w:rPr>
              <w:t>5. Alerter</w:t>
            </w:r>
          </w:p>
        </w:tc>
      </w:tr>
      <w:tr>
        <w:tc>
          <w:tcPr>
            <w:tcW w:type="dxa" w:w="1872"/>
            <w:tcMar>
              <w:top w:w="80" w:type="dxa"/>
              <w:start w:w="120" w:type="dxa"/>
              <w:bottom w:w="80" w:type="dxa"/>
              <w:end w:w="120" w:type="dxa"/>
            </w:tcMar>
            <w:vAlign w:val="center"/>
            <w:shd w:fill="EAF7FA"/>
          </w:tcPr>
          <w:p>
            <w:pPr>
              <w:jc w:val="center"/>
            </w:pPr>
            <w:r>
              <w:rPr>
                <w:rFonts w:ascii="Calibri" w:hAnsi="Calibri" w:eastAsia="Calibri"/>
                <w:color w:val="30343B"/>
                <w:sz w:val="17"/>
              </w:rPr>
              <w:t>Montant issu de la caisse</w:t>
            </w:r>
          </w:p>
        </w:tc>
        <w:tc>
          <w:tcPr>
            <w:tcW w:type="dxa" w:w="1872"/>
            <w:tcMar>
              <w:top w:w="80" w:type="dxa"/>
              <w:start w:w="120" w:type="dxa"/>
              <w:bottom w:w="80" w:type="dxa"/>
              <w:end w:w="120" w:type="dxa"/>
            </w:tcMar>
            <w:vAlign w:val="center"/>
            <w:shd w:fill="EDF4FA"/>
          </w:tcPr>
          <w:p>
            <w:pPr>
              <w:jc w:val="center"/>
            </w:pPr>
            <w:r>
              <w:rPr>
                <w:rFonts w:ascii="Calibri" w:hAnsi="Calibri" w:eastAsia="Calibri"/>
                <w:color w:val="30343B"/>
                <w:sz w:val="17"/>
              </w:rPr>
              <w:t>Référence et date banque</w:t>
            </w:r>
          </w:p>
        </w:tc>
        <w:tc>
          <w:tcPr>
            <w:tcW w:type="dxa" w:w="1872"/>
            <w:tcMar>
              <w:top w:w="80" w:type="dxa"/>
              <w:start w:w="120" w:type="dxa"/>
              <w:bottom w:w="80" w:type="dxa"/>
              <w:end w:w="120" w:type="dxa"/>
            </w:tcMar>
            <w:vAlign w:val="center"/>
            <w:shd w:fill="EAF7FA"/>
          </w:tcPr>
          <w:p>
            <w:pPr>
              <w:jc w:val="center"/>
            </w:pPr>
            <w:r>
              <w:rPr>
                <w:rFonts w:ascii="Calibri" w:hAnsi="Calibri" w:eastAsia="Calibri"/>
                <w:color w:val="30343B"/>
                <w:sz w:val="17"/>
              </w:rPr>
              <w:t>Bordereau ou document</w:t>
            </w:r>
          </w:p>
        </w:tc>
        <w:tc>
          <w:tcPr>
            <w:tcW w:type="dxa" w:w="1872"/>
            <w:tcMar>
              <w:top w:w="80" w:type="dxa"/>
              <w:start w:w="120" w:type="dxa"/>
              <w:bottom w:w="80" w:type="dxa"/>
              <w:end w:w="120" w:type="dxa"/>
            </w:tcMar>
            <w:vAlign w:val="center"/>
            <w:shd w:fill="EDF4FA"/>
          </w:tcPr>
          <w:p>
            <w:pPr>
              <w:jc w:val="center"/>
            </w:pPr>
            <w:r>
              <w:rPr>
                <w:rFonts w:ascii="Calibri" w:hAnsi="Calibri" w:eastAsia="Calibri"/>
                <w:color w:val="30343B"/>
                <w:sz w:val="17"/>
              </w:rPr>
              <w:t>Ligne bancaire native</w:t>
            </w:r>
          </w:p>
        </w:tc>
        <w:tc>
          <w:tcPr>
            <w:tcW w:type="dxa" w:w="1872"/>
            <w:tcMar>
              <w:top w:w="80" w:type="dxa"/>
              <w:start w:w="120" w:type="dxa"/>
              <w:bottom w:w="80" w:type="dxa"/>
              <w:end w:w="120" w:type="dxa"/>
            </w:tcMar>
            <w:vAlign w:val="center"/>
            <w:shd w:fill="EAF7FA"/>
          </w:tcPr>
          <w:p>
            <w:pPr>
              <w:jc w:val="center"/>
            </w:pPr>
            <w:r>
              <w:rPr>
                <w:rFonts w:ascii="Calibri" w:hAnsi="Calibri" w:eastAsia="Calibri"/>
                <w:color w:val="30343B"/>
                <w:sz w:val="17"/>
              </w:rPr>
              <w:t>Retard ou incohérence</w:t>
            </w:r>
          </w:p>
        </w:tc>
      </w:tr>
    </w:tbl>
    <w:p>
      <w:pPr>
        <w:spacing w:after="0"/>
      </w:pPr>
    </w:p>
    <w:p>
      <w:r>
        <w:br w:type="page"/>
      </w:r>
    </w:p>
    <w:p>
      <w:pPr>
        <w:pStyle w:val="Heading1"/>
      </w:pPr>
      <w:r>
        <w:t>5. Contrôle interne et sécurité</w:t>
      </w:r>
    </w:p>
    <w:p>
      <w:pPr>
        <w:spacing w:after="200"/>
      </w:pPr>
      <w:r>
        <w:rPr>
          <w:rFonts w:ascii="Calibri" w:hAnsi="Calibri" w:eastAsia="Calibri"/>
          <w:color w:val="283244"/>
          <w:sz w:val="23"/>
        </w:rPr>
        <w:t>La sécurité est appliquée côté serveur ; masquer un menu n’est jamais le seul contrôle.</w:t>
      </w:r>
    </w:p>
    <w:tbl>
      <w:tblPr>
        <w:tblW w:type="dxa" w:w="9360"/>
        <w:tblLayout w:type="fixed"/>
        <w:tblLook w:firstColumn="1" w:firstRow="1" w:lastColumn="0" w:lastRow="0" w:noHBand="0" w:noVBand="1" w:val="04A0"/>
        <w:jc w:val="left"/>
        <w:tblInd w:w="0" w:type="dxa"/>
      </w:tblPr>
      <w:tblGrid>
        <w:gridCol w:w="1900"/>
        <w:gridCol w:w="3500"/>
        <w:gridCol w:w="3960"/>
      </w:tblGrid>
      <w:tr>
        <w:trPr>
          <w:tblHeader w:val="true"/>
        </w:trPr>
        <w:tc>
          <w:tcPr>
            <w:tcW w:type="dxa" w:w="1900"/>
            <w:tcMar>
              <w:top w:w="80" w:type="dxa"/>
              <w:start w:w="120" w:type="dxa"/>
              <w:bottom w:w="80" w:type="dxa"/>
              <w:end w:w="120" w:type="dxa"/>
            </w:tcMar>
            <w:vAlign w:val="center"/>
            <w:shd w:fill="1971AC"/>
          </w:tcPr>
          <w:p>
            <w:r>
              <w:rPr>
                <w:rFonts w:ascii="Calibri" w:hAnsi="Calibri" w:eastAsia="Calibri"/>
                <w:b/>
                <w:color w:val="FFFFFF"/>
                <w:sz w:val="18"/>
              </w:rPr>
              <w:t>Mécanisme</w:t>
            </w:r>
          </w:p>
        </w:tc>
        <w:tc>
          <w:tcPr>
            <w:tcW w:type="dxa" w:w="3500"/>
            <w:tcMar>
              <w:top w:w="80" w:type="dxa"/>
              <w:start w:w="120" w:type="dxa"/>
              <w:bottom w:w="80" w:type="dxa"/>
              <w:end w:w="120" w:type="dxa"/>
            </w:tcMar>
            <w:vAlign w:val="center"/>
            <w:shd w:fill="1971AC"/>
          </w:tcPr>
          <w:p>
            <w:r>
              <w:rPr>
                <w:rFonts w:ascii="Calibri" w:hAnsi="Calibri" w:eastAsia="Calibri"/>
                <w:b/>
                <w:color w:val="FFFFFF"/>
                <w:sz w:val="18"/>
              </w:rPr>
              <w:t>Ce qu’il protège</w:t>
            </w:r>
          </w:p>
        </w:tc>
        <w:tc>
          <w:tcPr>
            <w:tcW w:type="dxa" w:w="3960"/>
            <w:tcMar>
              <w:top w:w="80" w:type="dxa"/>
              <w:start w:w="120" w:type="dxa"/>
              <w:bottom w:w="80" w:type="dxa"/>
              <w:end w:w="120" w:type="dxa"/>
            </w:tcMar>
            <w:vAlign w:val="center"/>
            <w:shd w:fill="1971AC"/>
          </w:tcPr>
          <w:p>
            <w:r>
              <w:rPr>
                <w:rFonts w:ascii="Calibri" w:hAnsi="Calibri" w:eastAsia="Calibri"/>
                <w:b/>
                <w:color w:val="FFFFFF"/>
                <w:sz w:val="18"/>
              </w:rPr>
              <w:t>Règle opérationnelle</w:t>
            </w:r>
          </w:p>
        </w:tc>
      </w:tr>
      <w:tr>
        <w:tc>
          <w:tcPr>
            <w:tcW w:type="dxa" w:w="1900"/>
            <w:tcMar>
              <w:top w:w="80" w:type="dxa"/>
              <w:start w:w="120" w:type="dxa"/>
              <w:bottom w:w="80" w:type="dxa"/>
              <w:end w:w="120" w:type="dxa"/>
            </w:tcMar>
            <w:vAlign w:val="center"/>
          </w:tcPr>
          <w:p>
            <w:r>
              <w:rPr>
                <w:rFonts w:ascii="Calibri" w:hAnsi="Calibri" w:eastAsia="Calibri"/>
                <w:color w:val="30343B"/>
                <w:sz w:val="17"/>
              </w:rPr>
              <w:t>Droits fins</w:t>
            </w:r>
          </w:p>
        </w:tc>
        <w:tc>
          <w:tcPr>
            <w:tcW w:type="dxa" w:w="3500"/>
            <w:tcMar>
              <w:top w:w="80" w:type="dxa"/>
              <w:start w:w="120" w:type="dxa"/>
              <w:bottom w:w="80" w:type="dxa"/>
              <w:end w:w="120" w:type="dxa"/>
            </w:tcMar>
            <w:vAlign w:val="center"/>
          </w:tcPr>
          <w:p>
            <w:r>
              <w:rPr>
                <w:rFonts w:ascii="Calibri" w:hAnsi="Calibri" w:eastAsia="Calibri"/>
                <w:color w:val="30343B"/>
                <w:sz w:val="17"/>
              </w:rPr>
              <w:t>Lecture, création, validation, exécution, export</w:t>
            </w:r>
          </w:p>
        </w:tc>
        <w:tc>
          <w:tcPr>
            <w:tcW w:type="dxa" w:w="3960"/>
            <w:tcMar>
              <w:top w:w="80" w:type="dxa"/>
              <w:start w:w="120" w:type="dxa"/>
              <w:bottom w:w="80" w:type="dxa"/>
              <w:end w:w="120" w:type="dxa"/>
            </w:tcMar>
            <w:vAlign w:val="center"/>
          </w:tcPr>
          <w:p>
            <w:r>
              <w:rPr>
                <w:rFonts w:ascii="Calibri" w:hAnsi="Calibri" w:eastAsia="Calibri"/>
                <w:color w:val="30343B"/>
                <w:sz w:val="17"/>
              </w:rPr>
              <w:t>Accorder par groupe et au strict besoin</w:t>
            </w:r>
          </w:p>
        </w:tc>
      </w:tr>
      <w:tr>
        <w:tc>
          <w:tcPr>
            <w:tcW w:type="dxa" w:w="1900"/>
            <w:shd w:fill="F3F5F7"/>
            <w:tcMar>
              <w:top w:w="80" w:type="dxa"/>
              <w:start w:w="120" w:type="dxa"/>
              <w:bottom w:w="80" w:type="dxa"/>
              <w:end w:w="120" w:type="dxa"/>
            </w:tcMar>
            <w:vAlign w:val="center"/>
          </w:tcPr>
          <w:p>
            <w:r>
              <w:rPr>
                <w:rFonts w:ascii="Calibri" w:hAnsi="Calibri" w:eastAsia="Calibri"/>
                <w:color w:val="30343B"/>
                <w:sz w:val="17"/>
              </w:rPr>
              <w:t>Périmètre agence</w:t>
            </w:r>
          </w:p>
        </w:tc>
        <w:tc>
          <w:tcPr>
            <w:tcW w:type="dxa" w:w="3500"/>
            <w:shd w:fill="F3F5F7"/>
            <w:tcMar>
              <w:top w:w="80" w:type="dxa"/>
              <w:start w:w="120" w:type="dxa"/>
              <w:bottom w:w="80" w:type="dxa"/>
              <w:end w:w="120" w:type="dxa"/>
            </w:tcMar>
            <w:vAlign w:val="center"/>
          </w:tcPr>
          <w:p>
            <w:r>
              <w:rPr>
                <w:rFonts w:ascii="Calibri" w:hAnsi="Calibri" w:eastAsia="Calibri"/>
                <w:color w:val="30343B"/>
                <w:sz w:val="17"/>
              </w:rPr>
              <w:t>Accès à une agence ou à un ensemble d’agences</w:t>
            </w:r>
          </w:p>
        </w:tc>
        <w:tc>
          <w:tcPr>
            <w:tcW w:type="dxa" w:w="3960"/>
            <w:shd w:fill="F3F5F7"/>
            <w:tcMar>
              <w:top w:w="80" w:type="dxa"/>
              <w:start w:w="120" w:type="dxa"/>
              <w:bottom w:w="80" w:type="dxa"/>
              <w:end w:w="120" w:type="dxa"/>
            </w:tcMar>
            <w:vAlign w:val="center"/>
          </w:tcPr>
          <w:p>
            <w:r>
              <w:rPr>
                <w:rFonts w:ascii="Calibri" w:hAnsi="Calibri" w:eastAsia="Calibri"/>
                <w:color w:val="30343B"/>
                <w:sz w:val="17"/>
              </w:rPr>
              <w:t>Un utilisateur local ne voit pas les autres agences</w:t>
            </w:r>
          </w:p>
        </w:tc>
      </w:tr>
      <w:tr>
        <w:tc>
          <w:tcPr>
            <w:tcW w:type="dxa" w:w="1900"/>
            <w:tcMar>
              <w:top w:w="80" w:type="dxa"/>
              <w:start w:w="120" w:type="dxa"/>
              <w:bottom w:w="80" w:type="dxa"/>
              <w:end w:w="120" w:type="dxa"/>
            </w:tcMar>
            <w:vAlign w:val="center"/>
          </w:tcPr>
          <w:p>
            <w:r>
              <w:rPr>
                <w:rFonts w:ascii="Calibri" w:hAnsi="Calibri" w:eastAsia="Calibri"/>
                <w:color w:val="30343B"/>
                <w:sz w:val="17"/>
              </w:rPr>
              <w:t>Session obligatoire</w:t>
            </w:r>
          </w:p>
        </w:tc>
        <w:tc>
          <w:tcPr>
            <w:tcW w:type="dxa" w:w="3500"/>
            <w:tcMar>
              <w:top w:w="80" w:type="dxa"/>
              <w:start w:w="120" w:type="dxa"/>
              <w:bottom w:w="80" w:type="dxa"/>
              <w:end w:w="120" w:type="dxa"/>
            </w:tcMar>
            <w:vAlign w:val="center"/>
          </w:tcPr>
          <w:p>
            <w:r>
              <w:rPr>
                <w:rFonts w:ascii="Calibri" w:hAnsi="Calibri" w:eastAsia="Calibri"/>
                <w:color w:val="30343B"/>
                <w:sz w:val="17"/>
              </w:rPr>
              <w:t>Encaissements et TakePOS</w:t>
            </w:r>
          </w:p>
        </w:tc>
        <w:tc>
          <w:tcPr>
            <w:tcW w:type="dxa" w:w="3960"/>
            <w:tcMar>
              <w:top w:w="80" w:type="dxa"/>
              <w:start w:w="120" w:type="dxa"/>
              <w:bottom w:w="80" w:type="dxa"/>
              <w:end w:w="120" w:type="dxa"/>
            </w:tcMar>
            <w:vAlign w:val="center"/>
          </w:tcPr>
          <w:p>
            <w:r>
              <w:rPr>
                <w:rFonts w:ascii="Calibri" w:hAnsi="Calibri" w:eastAsia="Calibri"/>
                <w:color w:val="30343B"/>
                <w:sz w:val="17"/>
              </w:rPr>
              <w:t>Aucun flux de caisse hors session valide</w:t>
            </w:r>
          </w:p>
        </w:tc>
      </w:tr>
      <w:tr>
        <w:tc>
          <w:tcPr>
            <w:tcW w:type="dxa" w:w="1900"/>
            <w:shd w:fill="F3F5F7"/>
            <w:tcMar>
              <w:top w:w="80" w:type="dxa"/>
              <w:start w:w="120" w:type="dxa"/>
              <w:bottom w:w="80" w:type="dxa"/>
              <w:end w:w="120" w:type="dxa"/>
            </w:tcMar>
            <w:vAlign w:val="center"/>
          </w:tcPr>
          <w:p>
            <w:r>
              <w:rPr>
                <w:rFonts w:ascii="Calibri" w:hAnsi="Calibri" w:eastAsia="Calibri"/>
                <w:color w:val="30343B"/>
                <w:sz w:val="17"/>
              </w:rPr>
              <w:t>Séparation des tâches</w:t>
            </w:r>
          </w:p>
        </w:tc>
        <w:tc>
          <w:tcPr>
            <w:tcW w:type="dxa" w:w="3500"/>
            <w:shd w:fill="F3F5F7"/>
            <w:tcMar>
              <w:top w:w="80" w:type="dxa"/>
              <w:start w:w="120" w:type="dxa"/>
              <w:bottom w:w="80" w:type="dxa"/>
              <w:end w:w="120" w:type="dxa"/>
            </w:tcMar>
            <w:vAlign w:val="center"/>
          </w:tcPr>
          <w:p>
            <w:r>
              <w:rPr>
                <w:rFonts w:ascii="Calibri" w:hAnsi="Calibri" w:eastAsia="Calibri"/>
                <w:color w:val="30343B"/>
                <w:sz w:val="17"/>
              </w:rPr>
              <w:t>Clôtures, différés et remboursements</w:t>
            </w:r>
          </w:p>
        </w:tc>
        <w:tc>
          <w:tcPr>
            <w:tcW w:type="dxa" w:w="3960"/>
            <w:shd w:fill="F3F5F7"/>
            <w:tcMar>
              <w:top w:w="80" w:type="dxa"/>
              <w:start w:w="120" w:type="dxa"/>
              <w:bottom w:w="80" w:type="dxa"/>
              <w:end w:w="120" w:type="dxa"/>
            </w:tcMar>
            <w:vAlign w:val="center"/>
          </w:tcPr>
          <w:p>
            <w:r>
              <w:rPr>
                <w:rFonts w:ascii="Calibri" w:hAnsi="Calibri" w:eastAsia="Calibri"/>
                <w:color w:val="30343B"/>
                <w:sz w:val="17"/>
              </w:rPr>
              <w:t>Auto-approbation désactivée par défaut</w:t>
            </w:r>
          </w:p>
        </w:tc>
      </w:tr>
      <w:tr>
        <w:tc>
          <w:tcPr>
            <w:tcW w:type="dxa" w:w="1900"/>
            <w:tcMar>
              <w:top w:w="80" w:type="dxa"/>
              <w:start w:w="120" w:type="dxa"/>
              <w:bottom w:w="80" w:type="dxa"/>
              <w:end w:w="120" w:type="dxa"/>
            </w:tcMar>
            <w:vAlign w:val="center"/>
          </w:tcPr>
          <w:p>
            <w:r>
              <w:rPr>
                <w:rFonts w:ascii="Calibri" w:hAnsi="Calibri" w:eastAsia="Calibri"/>
                <w:color w:val="30343B"/>
                <w:sz w:val="17"/>
              </w:rPr>
              <w:t>Gel de caisse</w:t>
            </w:r>
          </w:p>
        </w:tc>
        <w:tc>
          <w:tcPr>
            <w:tcW w:type="dxa" w:w="3500"/>
            <w:tcMar>
              <w:top w:w="80" w:type="dxa"/>
              <w:start w:w="120" w:type="dxa"/>
              <w:bottom w:w="80" w:type="dxa"/>
              <w:end w:w="120" w:type="dxa"/>
            </w:tcMar>
            <w:vAlign w:val="center"/>
          </w:tcPr>
          <w:p>
            <w:r>
              <w:rPr>
                <w:rFonts w:ascii="Calibri" w:hAnsi="Calibri" w:eastAsia="Calibri"/>
                <w:color w:val="30343B"/>
                <w:sz w:val="17"/>
              </w:rPr>
              <w:t>Contrôle inopiné</w:t>
            </w:r>
          </w:p>
        </w:tc>
        <w:tc>
          <w:tcPr>
            <w:tcW w:type="dxa" w:w="3960"/>
            <w:tcMar>
              <w:top w:w="80" w:type="dxa"/>
              <w:start w:w="120" w:type="dxa"/>
              <w:bottom w:w="80" w:type="dxa"/>
              <w:end w:w="120" w:type="dxa"/>
            </w:tcMar>
            <w:vAlign w:val="center"/>
          </w:tcPr>
          <w:p>
            <w:r>
              <w:rPr>
                <w:rFonts w:ascii="Calibri" w:hAnsi="Calibri" w:eastAsia="Calibri"/>
                <w:color w:val="30343B"/>
                <w:sz w:val="17"/>
              </w:rPr>
              <w:t>Bloque les mouvements pendant le contrôle</w:t>
            </w:r>
          </w:p>
        </w:tc>
      </w:tr>
      <w:tr>
        <w:tc>
          <w:tcPr>
            <w:tcW w:type="dxa" w:w="1900"/>
            <w:shd w:fill="F3F5F7"/>
            <w:tcMar>
              <w:top w:w="80" w:type="dxa"/>
              <w:start w:w="120" w:type="dxa"/>
              <w:bottom w:w="80" w:type="dxa"/>
              <w:end w:w="120" w:type="dxa"/>
            </w:tcMar>
            <w:vAlign w:val="center"/>
          </w:tcPr>
          <w:p>
            <w:r>
              <w:rPr>
                <w:rFonts w:ascii="Calibri" w:hAnsi="Calibri" w:eastAsia="Calibri"/>
                <w:color w:val="30343B"/>
                <w:sz w:val="17"/>
              </w:rPr>
              <w:t>Piste d’audit</w:t>
            </w:r>
          </w:p>
        </w:tc>
        <w:tc>
          <w:tcPr>
            <w:tcW w:type="dxa" w:w="3500"/>
            <w:shd w:fill="F3F5F7"/>
            <w:tcMar>
              <w:top w:w="80" w:type="dxa"/>
              <w:start w:w="120" w:type="dxa"/>
              <w:bottom w:w="80" w:type="dxa"/>
              <w:end w:w="120" w:type="dxa"/>
            </w:tcMar>
            <w:vAlign w:val="center"/>
          </w:tcPr>
          <w:p>
            <w:r>
              <w:rPr>
                <w:rFonts w:ascii="Calibri" w:hAnsi="Calibri" w:eastAsia="Calibri"/>
                <w:color w:val="30343B"/>
                <w:sz w:val="17"/>
              </w:rPr>
              <w:t>Actions sensibles et changements</w:t>
            </w:r>
          </w:p>
        </w:tc>
        <w:tc>
          <w:tcPr>
            <w:tcW w:type="dxa" w:w="3960"/>
            <w:shd w:fill="F3F5F7"/>
            <w:tcMar>
              <w:top w:w="80" w:type="dxa"/>
              <w:start w:w="120" w:type="dxa"/>
              <w:bottom w:w="80" w:type="dxa"/>
              <w:end w:w="120" w:type="dxa"/>
            </w:tcMar>
            <w:vAlign w:val="center"/>
          </w:tcPr>
          <w:p>
            <w:r>
              <w:rPr>
                <w:rFonts w:ascii="Calibri" w:hAnsi="Calibri" w:eastAsia="Calibri"/>
                <w:color w:val="30343B"/>
                <w:sz w:val="17"/>
              </w:rPr>
              <w:t>Journal horodaté, utilisateur et contexte</w:t>
            </w:r>
          </w:p>
        </w:tc>
      </w:tr>
      <w:tr>
        <w:tc>
          <w:tcPr>
            <w:tcW w:type="dxa" w:w="1900"/>
            <w:tcMar>
              <w:top w:w="80" w:type="dxa"/>
              <w:start w:w="120" w:type="dxa"/>
              <w:bottom w:w="80" w:type="dxa"/>
              <w:end w:w="120" w:type="dxa"/>
            </w:tcMar>
            <w:vAlign w:val="center"/>
          </w:tcPr>
          <w:p>
            <w:r>
              <w:rPr>
                <w:rFonts w:ascii="Calibri" w:hAnsi="Calibri" w:eastAsia="Calibri"/>
                <w:color w:val="30343B"/>
                <w:sz w:val="17"/>
              </w:rPr>
              <w:t>Idempotence</w:t>
            </w:r>
          </w:p>
        </w:tc>
        <w:tc>
          <w:tcPr>
            <w:tcW w:type="dxa" w:w="3500"/>
            <w:tcMar>
              <w:top w:w="80" w:type="dxa"/>
              <w:start w:w="120" w:type="dxa"/>
              <w:bottom w:w="80" w:type="dxa"/>
              <w:end w:w="120" w:type="dxa"/>
            </w:tcMar>
            <w:vAlign w:val="center"/>
          </w:tcPr>
          <w:p>
            <w:r>
              <w:rPr>
                <w:rFonts w:ascii="Calibri" w:hAnsi="Calibri" w:eastAsia="Calibri"/>
                <w:color w:val="30343B"/>
                <w:sz w:val="17"/>
              </w:rPr>
              <w:t>Annulations et reprises techniques</w:t>
            </w:r>
          </w:p>
        </w:tc>
        <w:tc>
          <w:tcPr>
            <w:tcW w:type="dxa" w:w="3960"/>
            <w:tcMar>
              <w:top w:w="80" w:type="dxa"/>
              <w:start w:w="120" w:type="dxa"/>
              <w:bottom w:w="80" w:type="dxa"/>
              <w:end w:w="120" w:type="dxa"/>
            </w:tcMar>
            <w:vAlign w:val="center"/>
          </w:tcPr>
          <w:p>
            <w:r>
              <w:rPr>
                <w:rFonts w:ascii="Calibri" w:hAnsi="Calibri" w:eastAsia="Calibri"/>
                <w:color w:val="30343B"/>
                <w:sz w:val="17"/>
              </w:rPr>
              <w:t>Évite la duplication des contrepassations</w:t>
            </w:r>
          </w:p>
        </w:tc>
      </w:tr>
    </w:tbl>
    <w:p>
      <w:pPr>
        <w:spacing w:after="0"/>
      </w:pPr>
    </w:p>
    <w:tbl>
      <w:tblPr>
        <w:tblW w:type="dxa" w:w="9360"/>
        <w:jc w:val="left"/>
        <w:tblLayout w:type="fixed"/>
        <w:tblLook w:firstColumn="1" w:firstRow="1" w:lastColumn="0" w:lastRow="0" w:noHBand="0" w:noVBand="1" w:val="04A0"/>
        <w:tblInd w:w="0" w:type="dxa"/>
      </w:tblPr>
      <w:tblGrid>
        <w:gridCol w:w="180"/>
        <w:gridCol w:w="9180"/>
      </w:tblGrid>
      <w:tr>
        <w:tc>
          <w:tcPr>
            <w:tcW w:type="dxa" w:w="180"/>
            <w:tcMar>
              <w:top w:w="80" w:type="dxa"/>
              <w:start w:w="0" w:type="dxa"/>
              <w:bottom w:w="80" w:type="dxa"/>
              <w:end w:w="0" w:type="dxa"/>
            </w:tcMar>
            <w:vAlign w:val="center"/>
            <w:shd w:fill="E45510"/>
          </w:tcPr>
          <w:p/>
        </w:tc>
        <w:tc>
          <w:tcPr>
            <w:tcW w:type="dxa" w:w="9180"/>
            <w:tcMar>
              <w:top w:w="120" w:type="dxa"/>
              <w:start w:w="160" w:type="dxa"/>
              <w:bottom w:w="120" w:type="dxa"/>
              <w:end w:w="160" w:type="dxa"/>
            </w:tcMar>
            <w:vAlign w:val="center"/>
            <w:shd w:fill="FFF1E8"/>
          </w:tcPr>
          <w:p>
            <w:r>
              <w:rPr>
                <w:rFonts w:ascii="Calibri" w:hAnsi="Calibri" w:eastAsia="Calibri"/>
                <w:b/>
                <w:color w:val="283244"/>
              </w:rPr>
              <w:t>Points de vigilance</w:t>
              <w:br/>
            </w:r>
            <w:r>
              <w:rPr>
                <w:rFonts w:ascii="Calibri" w:hAnsi="Calibri" w:eastAsia="Calibri"/>
                <w:color w:val="30343B"/>
                <w:sz w:val="21"/>
              </w:rPr>
              <w:t>Une caisse doit être configurée avec ses comptes par mode avant utilisation. Les seuils d’écart, remises TakePOS, durée de session et délais de rapprochement doivent refléter la politique interne.</w:t>
            </w:r>
          </w:p>
        </w:tc>
      </w:tr>
    </w:tbl>
    <w:p>
      <w:pPr>
        <w:spacing w:after="0"/>
      </w:pPr>
    </w:p>
    <w:p>
      <w:r>
        <w:br w:type="page"/>
      </w:r>
    </w:p>
    <w:p>
      <w:pPr>
        <w:pStyle w:val="Heading1"/>
      </w:pPr>
      <w:r>
        <w:t>6. Valeur par profil</w:t>
      </w:r>
    </w:p>
    <w:p>
      <w:pPr>
        <w:spacing w:after="200"/>
      </w:pPr>
      <w:r>
        <w:rPr>
          <w:rFonts w:ascii="Calibri" w:hAnsi="Calibri" w:eastAsia="Calibri"/>
          <w:color w:val="283244"/>
          <w:sz w:val="23"/>
        </w:rPr>
        <w:t>Le même socle donne à chaque rôle la vue et les actions utiles.</w:t>
      </w:r>
    </w:p>
    <w:tbl>
      <w:tblPr>
        <w:tblW w:type="dxa" w:w="9360"/>
        <w:tblLayout w:type="fixed"/>
        <w:tblLook w:firstColumn="1" w:firstRow="1" w:lastColumn="0" w:lastRow="0" w:noHBand="0" w:noVBand="1" w:val="04A0"/>
        <w:jc w:val="left"/>
        <w:tblInd w:w="0" w:type="dxa"/>
      </w:tblPr>
      <w:tblGrid>
        <w:gridCol w:w="2500"/>
        <w:gridCol w:w="6860"/>
      </w:tblGrid>
      <w:tr>
        <w:trPr>
          <w:tblHeader w:val="true"/>
        </w:trPr>
        <w:tc>
          <w:tcPr>
            <w:tcW w:type="dxa" w:w="2500"/>
            <w:tcMar>
              <w:top w:w="80" w:type="dxa"/>
              <w:start w:w="120" w:type="dxa"/>
              <w:bottom w:w="80" w:type="dxa"/>
              <w:end w:w="120" w:type="dxa"/>
            </w:tcMar>
            <w:vAlign w:val="center"/>
            <w:shd w:fill="1971AC"/>
          </w:tcPr>
          <w:p>
            <w:r>
              <w:rPr>
                <w:rFonts w:ascii="Calibri" w:hAnsi="Calibri" w:eastAsia="Calibri"/>
                <w:b/>
                <w:color w:val="FFFFFF"/>
                <w:sz w:val="19"/>
              </w:rPr>
              <w:t>Profil</w:t>
            </w:r>
          </w:p>
        </w:tc>
        <w:tc>
          <w:tcPr>
            <w:tcW w:type="dxa" w:w="6860"/>
            <w:tcMar>
              <w:top w:w="80" w:type="dxa"/>
              <w:start w:w="120" w:type="dxa"/>
              <w:bottom w:w="80" w:type="dxa"/>
              <w:end w:w="120" w:type="dxa"/>
            </w:tcMar>
            <w:vAlign w:val="center"/>
            <w:shd w:fill="1971AC"/>
          </w:tcPr>
          <w:p>
            <w:r>
              <w:rPr>
                <w:rFonts w:ascii="Calibri" w:hAnsi="Calibri" w:eastAsia="Calibri"/>
                <w:b/>
                <w:color w:val="FFFFFF"/>
                <w:sz w:val="19"/>
              </w:rPr>
              <w:t>Ce que le module lui apporte</w:t>
            </w:r>
          </w:p>
        </w:tc>
      </w:tr>
      <w:tr>
        <w:tc>
          <w:tcPr>
            <w:tcW w:type="dxa" w:w="2500"/>
            <w:tcMar>
              <w:top w:w="80" w:type="dxa"/>
              <w:start w:w="120" w:type="dxa"/>
              <w:bottom w:w="80" w:type="dxa"/>
              <w:end w:w="120" w:type="dxa"/>
            </w:tcMar>
            <w:vAlign w:val="center"/>
          </w:tcPr>
          <w:p>
            <w:r>
              <w:rPr>
                <w:rFonts w:ascii="Calibri" w:hAnsi="Calibri" w:eastAsia="Calibri"/>
                <w:color w:val="30343B"/>
                <w:sz w:val="18"/>
              </w:rPr>
              <w:t>Caissier</w:t>
            </w:r>
          </w:p>
        </w:tc>
        <w:tc>
          <w:tcPr>
            <w:tcW w:type="dxa" w:w="6860"/>
            <w:tcMar>
              <w:top w:w="80" w:type="dxa"/>
              <w:start w:w="120" w:type="dxa"/>
              <w:bottom w:w="80" w:type="dxa"/>
              <w:end w:w="120" w:type="dxa"/>
            </w:tcMar>
            <w:vAlign w:val="center"/>
          </w:tcPr>
          <w:p>
            <w:r>
              <w:rPr>
                <w:rFonts w:ascii="Calibri" w:hAnsi="Calibri" w:eastAsia="Calibri"/>
                <w:color w:val="30343B"/>
                <w:sz w:val="18"/>
              </w:rPr>
              <w:t>Une séquence claire : ouvrir, encaisser, compter, clôturer et justifier.</w:t>
            </w:r>
          </w:p>
        </w:tc>
      </w:tr>
      <w:tr>
        <w:tc>
          <w:tcPr>
            <w:tcW w:type="dxa" w:w="2500"/>
            <w:shd w:fill="F3F5F7"/>
            <w:tcMar>
              <w:top w:w="80" w:type="dxa"/>
              <w:start w:w="120" w:type="dxa"/>
              <w:bottom w:w="80" w:type="dxa"/>
              <w:end w:w="120" w:type="dxa"/>
            </w:tcMar>
            <w:vAlign w:val="center"/>
          </w:tcPr>
          <w:p>
            <w:r>
              <w:rPr>
                <w:rFonts w:ascii="Calibri" w:hAnsi="Calibri" w:eastAsia="Calibri"/>
                <w:color w:val="30343B"/>
                <w:sz w:val="18"/>
              </w:rPr>
              <w:t>Chef de caisse</w:t>
            </w:r>
          </w:p>
        </w:tc>
        <w:tc>
          <w:tcPr>
            <w:tcW w:type="dxa" w:w="6860"/>
            <w:shd w:fill="F3F5F7"/>
            <w:tcMar>
              <w:top w:w="80" w:type="dxa"/>
              <w:start w:w="120" w:type="dxa"/>
              <w:bottom w:w="80" w:type="dxa"/>
              <w:end w:w="120" w:type="dxa"/>
            </w:tcMar>
            <w:vAlign w:val="center"/>
          </w:tcPr>
          <w:p>
            <w:r>
              <w:rPr>
                <w:rFonts w:ascii="Calibri" w:hAnsi="Calibri" w:eastAsia="Calibri"/>
                <w:color w:val="30343B"/>
                <w:sz w:val="18"/>
              </w:rPr>
              <w:t>Supervision des sessions, contrôle des écarts, validation et organisation des dépôts.</w:t>
            </w:r>
          </w:p>
        </w:tc>
      </w:tr>
      <w:tr>
        <w:tc>
          <w:tcPr>
            <w:tcW w:type="dxa" w:w="2500"/>
            <w:tcMar>
              <w:top w:w="80" w:type="dxa"/>
              <w:start w:w="120" w:type="dxa"/>
              <w:bottom w:w="80" w:type="dxa"/>
              <w:end w:w="120" w:type="dxa"/>
            </w:tcMar>
            <w:vAlign w:val="center"/>
          </w:tcPr>
          <w:p>
            <w:r>
              <w:rPr>
                <w:rFonts w:ascii="Calibri" w:hAnsi="Calibri" w:eastAsia="Calibri"/>
                <w:color w:val="30343B"/>
                <w:sz w:val="18"/>
              </w:rPr>
              <w:t>Responsable d’agence</w:t>
            </w:r>
          </w:p>
        </w:tc>
        <w:tc>
          <w:tcPr>
            <w:tcW w:type="dxa" w:w="6860"/>
            <w:tcMar>
              <w:top w:w="80" w:type="dxa"/>
              <w:start w:w="120" w:type="dxa"/>
              <w:bottom w:w="80" w:type="dxa"/>
              <w:end w:w="120" w:type="dxa"/>
            </w:tcMar>
            <w:vAlign w:val="center"/>
          </w:tcPr>
          <w:p>
            <w:r>
              <w:rPr>
                <w:rFonts w:ascii="Calibri" w:hAnsi="Calibri" w:eastAsia="Calibri"/>
                <w:color w:val="30343B"/>
                <w:sz w:val="18"/>
              </w:rPr>
              <w:t>Pilotage de l’activité, des exceptions, des créances et de la performance locale.</w:t>
            </w:r>
          </w:p>
        </w:tc>
      </w:tr>
      <w:tr>
        <w:tc>
          <w:tcPr>
            <w:tcW w:type="dxa" w:w="2500"/>
            <w:shd w:fill="F3F5F7"/>
            <w:tcMar>
              <w:top w:w="80" w:type="dxa"/>
              <w:start w:w="120" w:type="dxa"/>
              <w:bottom w:w="80" w:type="dxa"/>
              <w:end w:w="120" w:type="dxa"/>
            </w:tcMar>
            <w:vAlign w:val="center"/>
          </w:tcPr>
          <w:p>
            <w:r>
              <w:rPr>
                <w:rFonts w:ascii="Calibri" w:hAnsi="Calibri" w:eastAsia="Calibri"/>
                <w:color w:val="30343B"/>
                <w:sz w:val="18"/>
              </w:rPr>
              <w:t>Contrôle interne / audit</w:t>
            </w:r>
          </w:p>
        </w:tc>
        <w:tc>
          <w:tcPr>
            <w:tcW w:type="dxa" w:w="6860"/>
            <w:shd w:fill="F3F5F7"/>
            <w:tcMar>
              <w:top w:w="80" w:type="dxa"/>
              <w:start w:w="120" w:type="dxa"/>
              <w:bottom w:w="80" w:type="dxa"/>
              <w:end w:w="120" w:type="dxa"/>
            </w:tcMar>
            <w:vAlign w:val="center"/>
          </w:tcPr>
          <w:p>
            <w:r>
              <w:rPr>
                <w:rFonts w:ascii="Calibri" w:hAnsi="Calibri" w:eastAsia="Calibri"/>
                <w:color w:val="30343B"/>
                <w:sz w:val="18"/>
              </w:rPr>
              <w:t>Gel, contrôles inopinés, alertes, preuves, journal et vues transversales.</w:t>
            </w:r>
          </w:p>
        </w:tc>
      </w:tr>
      <w:tr>
        <w:tc>
          <w:tcPr>
            <w:tcW w:type="dxa" w:w="2500"/>
            <w:tcMar>
              <w:top w:w="80" w:type="dxa"/>
              <w:start w:w="120" w:type="dxa"/>
              <w:bottom w:w="80" w:type="dxa"/>
              <w:end w:w="120" w:type="dxa"/>
            </w:tcMar>
            <w:vAlign w:val="center"/>
          </w:tcPr>
          <w:p>
            <w:r>
              <w:rPr>
                <w:rFonts w:ascii="Calibri" w:hAnsi="Calibri" w:eastAsia="Calibri"/>
                <w:color w:val="30343B"/>
                <w:sz w:val="18"/>
              </w:rPr>
              <w:t>Finance / DAF</w:t>
            </w:r>
          </w:p>
        </w:tc>
        <w:tc>
          <w:tcPr>
            <w:tcW w:type="dxa" w:w="6860"/>
            <w:tcMar>
              <w:top w:w="80" w:type="dxa"/>
              <w:start w:w="120" w:type="dxa"/>
              <w:bottom w:w="80" w:type="dxa"/>
              <w:end w:w="120" w:type="dxa"/>
            </w:tcMar>
            <w:vAlign w:val="center"/>
          </w:tcPr>
          <w:p>
            <w:r>
              <w:rPr>
                <w:rFonts w:ascii="Calibri" w:hAnsi="Calibri" w:eastAsia="Calibri"/>
                <w:color w:val="30343B"/>
                <w:sz w:val="18"/>
              </w:rPr>
              <w:t>Rapprochements, suivi des modes, clôtures validées, déversement et traçabilité banque.</w:t>
            </w:r>
          </w:p>
        </w:tc>
      </w:tr>
      <w:tr>
        <w:tc>
          <w:tcPr>
            <w:tcW w:type="dxa" w:w="2500"/>
            <w:shd w:fill="F3F5F7"/>
            <w:tcMar>
              <w:top w:w="80" w:type="dxa"/>
              <w:start w:w="120" w:type="dxa"/>
              <w:bottom w:w="80" w:type="dxa"/>
              <w:end w:w="120" w:type="dxa"/>
            </w:tcMar>
            <w:vAlign w:val="center"/>
          </w:tcPr>
          <w:p>
            <w:r>
              <w:rPr>
                <w:rFonts w:ascii="Calibri" w:hAnsi="Calibri" w:eastAsia="Calibri"/>
                <w:color w:val="30343B"/>
                <w:sz w:val="18"/>
              </w:rPr>
              <w:t>Direction</w:t>
            </w:r>
          </w:p>
        </w:tc>
        <w:tc>
          <w:tcPr>
            <w:tcW w:type="dxa" w:w="6860"/>
            <w:shd w:fill="F3F5F7"/>
            <w:tcMar>
              <w:top w:w="80" w:type="dxa"/>
              <w:start w:w="120" w:type="dxa"/>
              <w:bottom w:w="80" w:type="dxa"/>
              <w:end w:w="120" w:type="dxa"/>
            </w:tcMar>
            <w:vAlign w:val="center"/>
          </w:tcPr>
          <w:p>
            <w:r>
              <w:rPr>
                <w:rFonts w:ascii="Calibri" w:hAnsi="Calibri" w:eastAsia="Calibri"/>
                <w:color w:val="30343B"/>
                <w:sz w:val="18"/>
              </w:rPr>
              <w:t>Indicateurs consolidés multi-agences et visibilité sur les risques opérationnels.</w:t>
            </w:r>
          </w:p>
        </w:tc>
      </w:tr>
      <w:tr>
        <w:tc>
          <w:tcPr>
            <w:tcW w:type="dxa" w:w="2500"/>
            <w:tcMar>
              <w:top w:w="80" w:type="dxa"/>
              <w:start w:w="120" w:type="dxa"/>
              <w:bottom w:w="80" w:type="dxa"/>
              <w:end w:w="120" w:type="dxa"/>
            </w:tcMar>
            <w:vAlign w:val="center"/>
          </w:tcPr>
          <w:p>
            <w:r>
              <w:rPr>
                <w:rFonts w:ascii="Calibri" w:hAnsi="Calibri" w:eastAsia="Calibri"/>
                <w:color w:val="30343B"/>
                <w:sz w:val="18"/>
              </w:rPr>
              <w:t>Administrateur</w:t>
            </w:r>
          </w:p>
        </w:tc>
        <w:tc>
          <w:tcPr>
            <w:tcW w:type="dxa" w:w="6860"/>
            <w:tcMar>
              <w:top w:w="80" w:type="dxa"/>
              <w:start w:w="120" w:type="dxa"/>
              <w:bottom w:w="80" w:type="dxa"/>
              <w:end w:w="120" w:type="dxa"/>
            </w:tcMar>
            <w:vAlign w:val="center"/>
          </w:tcPr>
          <w:p>
            <w:r>
              <w:rPr>
                <w:rFonts w:ascii="Calibri" w:hAnsi="Calibri" w:eastAsia="Calibri"/>
                <w:color w:val="30343B"/>
                <w:sz w:val="18"/>
              </w:rPr>
              <w:t>Paramétrage centralisé, droits, workflows, mappings, terminaux et maintenance.</w:t>
            </w:r>
          </w:p>
        </w:tc>
      </w:tr>
    </w:tbl>
    <w:p>
      <w:pPr>
        <w:spacing w:after="0"/>
      </w:pPr>
    </w:p>
    <w:p>
      <w:pPr>
        <w:pStyle w:val="Heading2"/>
      </w:pPr>
      <w:r>
        <w:t>Bénéfices attendus</w:t>
      </w:r>
    </w:p>
    <w:p>
      <w:pPr>
        <w:pStyle w:val="ListBullet"/>
      </w:pPr>
      <w:r>
        <w:t>Moins de ressaisies et de rapprochements manuels grâce aux objets Dolibarr natifs.</w:t>
      </w:r>
    </w:p>
    <w:p>
      <w:pPr>
        <w:pStyle w:val="ListBullet"/>
      </w:pPr>
      <w:r>
        <w:t>Clôtures plus homogènes, écarts qualifiés et responsabilités explicites.</w:t>
      </w:r>
    </w:p>
    <w:p>
      <w:pPr>
        <w:pStyle w:val="ListBullet"/>
      </w:pPr>
      <w:r>
        <w:t>Visibilité en temps utile sur les différés, dépôts non rapprochés et sessions anormales.</w:t>
      </w:r>
    </w:p>
    <w:p>
      <w:pPr>
        <w:pStyle w:val="ListBullet"/>
      </w:pPr>
      <w:r>
        <w:t>Capacité d’audit renforcée par une chaîne de preuves du point de vente à la comptabilité.</w:t>
      </w:r>
    </w:p>
    <w:p>
      <w:r>
        <w:br w:type="page"/>
      </w:r>
    </w:p>
    <w:p>
      <w:pPr>
        <w:pStyle w:val="Heading1"/>
      </w:pPr>
      <w:r>
        <w:t>7. Conditions de réussite</w:t>
      </w:r>
    </w:p>
    <w:p>
      <w:pPr>
        <w:spacing w:after="200"/>
      </w:pPr>
      <w:r>
        <w:rPr>
          <w:rFonts w:ascii="Calibri" w:hAnsi="Calibri" w:eastAsia="Calibri"/>
          <w:color w:val="283244"/>
          <w:sz w:val="23"/>
        </w:rPr>
        <w:t>Le logiciel apporte les contrôles ; leur efficacité dépend d’un paramétrage et d’une gouvernance cohérents.</w:t>
      </w:r>
    </w:p>
    <w:p>
      <w:pPr>
        <w:spacing w:after="80" w:line="300" w:lineRule="auto"/>
        <w:ind w:left="540" w:hanging="271"/>
        <w:numPr>
          <w:ilvl w:val="0"/>
          <w:numId w:val="10"/>
        </w:numPr>
      </w:pPr>
      <w:r>
        <w:t>Activer les modules Dolibarr nécessaires et Agence ; maintenir SofOps désactivé.</w:t>
      </w:r>
    </w:p>
    <w:p>
      <w:pPr>
        <w:spacing w:after="80" w:line="300" w:lineRule="auto"/>
        <w:ind w:left="540" w:hanging="271"/>
        <w:numPr>
          <w:ilvl w:val="0"/>
          <w:numId w:val="10"/>
        </w:numPr>
      </w:pPr>
      <w:r>
        <w:t>Créer les agences, DAS et caisses, puis affecter un compte financier à chaque mode de paiement utilisé.</w:t>
      </w:r>
    </w:p>
    <w:p>
      <w:pPr>
        <w:spacing w:after="80" w:line="300" w:lineRule="auto"/>
        <w:ind w:left="540" w:hanging="271"/>
        <w:numPr>
          <w:ilvl w:val="0"/>
          <w:numId w:val="10"/>
        </w:numPr>
      </w:pPr>
      <w:r>
        <w:t>Définir les périmètres utilisateurs, groupes de droits et rôles transversaux.</w:t>
      </w:r>
    </w:p>
    <w:p>
      <w:pPr>
        <w:spacing w:after="80" w:line="300" w:lineRule="auto"/>
        <w:ind w:left="540" w:hanging="271"/>
        <w:numPr>
          <w:ilvl w:val="0"/>
          <w:numId w:val="10"/>
        </w:numPr>
      </w:pPr>
      <w:r>
        <w:t>Configurer les workflows, seuils, terminaux TakePOS et mappings comptables.</w:t>
      </w:r>
    </w:p>
    <w:p>
      <w:pPr>
        <w:spacing w:after="80" w:line="300" w:lineRule="auto"/>
        <w:ind w:left="540" w:hanging="271"/>
        <w:numPr>
          <w:ilvl w:val="0"/>
          <w:numId w:val="10"/>
        </w:numPr>
      </w:pPr>
      <w:r>
        <w:t>Réaliser une recette pilote complète : vente, paiement mixte, clôture, remboursement, dépôt et rapprochement.</w:t>
      </w:r>
    </w:p>
    <w:p>
      <w:pPr>
        <w:spacing w:after="80" w:line="300" w:lineRule="auto"/>
        <w:ind w:left="540" w:hanging="271"/>
        <w:numPr>
          <w:ilvl w:val="0"/>
          <w:numId w:val="10"/>
        </w:numPr>
      </w:pPr>
      <w:r>
        <w:t>Former chaque profil, documenter les responsabilités et valider la checklist de mise en production.</w:t>
      </w:r>
    </w:p>
    <w:tbl>
      <w:tblPr>
        <w:tblW w:type="dxa" w:w="9360"/>
        <w:jc w:val="left"/>
        <w:tblLayout w:type="fixed"/>
        <w:tblLook w:firstColumn="1" w:firstRow="1" w:lastColumn="0" w:lastRow="0" w:noHBand="0" w:noVBand="1" w:val="04A0"/>
        <w:tblInd w:w="0" w:type="dxa"/>
      </w:tblPr>
      <w:tblGrid>
        <w:gridCol w:w="180"/>
        <w:gridCol w:w="9180"/>
      </w:tblGrid>
      <w:tr>
        <w:tc>
          <w:tcPr>
            <w:tcW w:type="dxa" w:w="180"/>
            <w:tcMar>
              <w:top w:w="80" w:type="dxa"/>
              <w:start w:w="0" w:type="dxa"/>
              <w:bottom w:w="80" w:type="dxa"/>
              <w:end w:w="0" w:type="dxa"/>
            </w:tcMar>
            <w:vAlign w:val="center"/>
            <w:shd w:fill="B42318"/>
          </w:tcPr>
          <w:p/>
        </w:tc>
        <w:tc>
          <w:tcPr>
            <w:tcW w:type="dxa" w:w="9180"/>
            <w:tcMar>
              <w:top w:w="120" w:type="dxa"/>
              <w:start w:w="160" w:type="dxa"/>
              <w:bottom w:w="120" w:type="dxa"/>
              <w:end w:w="160" w:type="dxa"/>
            </w:tcMar>
            <w:vAlign w:val="center"/>
            <w:shd w:fill="FDECEC"/>
          </w:tcPr>
          <w:p>
            <w:r>
              <w:rPr>
                <w:rFonts w:ascii="Calibri" w:hAnsi="Calibri" w:eastAsia="Calibri"/>
                <w:b/>
                <w:color w:val="283244"/>
              </w:rPr>
              <w:t>État initial à prévoir</w:t>
              <w:br/>
            </w:r>
            <w:r>
              <w:rPr>
                <w:rFonts w:ascii="Calibri" w:hAnsi="Calibri" w:eastAsia="Calibri"/>
                <w:color w:val="30343B"/>
                <w:sz w:val="21"/>
              </w:rPr>
              <w:t>Après activation, l’organisation métier doit être configurée. Sans agence, DAS, caisse active et comptes de paiement, aucune exploitation réelle de caisse ne doit démarrer.</w:t>
            </w:r>
          </w:p>
        </w:tc>
      </w:tr>
    </w:tbl>
    <w:p>
      <w:pPr>
        <w:spacing w:after="0"/>
      </w:pPr>
    </w:p>
    <w:tbl>
      <w:tblPr>
        <w:tblW w:type="dxa" w:w="9360"/>
        <w:jc w:val="left"/>
        <w:tblLayout w:type="fixed"/>
        <w:tblLook w:firstColumn="1" w:firstRow="1" w:lastColumn="0" w:lastRow="0" w:noHBand="0" w:noVBand="1" w:val="04A0"/>
        <w:tblInd w:w="0" w:type="dxa"/>
      </w:tblPr>
      <w:tblGrid>
        <w:gridCol w:w="180"/>
        <w:gridCol w:w="9180"/>
      </w:tblGrid>
      <w:tr>
        <w:tc>
          <w:tcPr>
            <w:tcW w:type="dxa" w:w="180"/>
            <w:tcMar>
              <w:top w:w="80" w:type="dxa"/>
              <w:start w:w="0" w:type="dxa"/>
              <w:bottom w:w="80" w:type="dxa"/>
              <w:end w:w="0" w:type="dxa"/>
            </w:tcMar>
            <w:vAlign w:val="center"/>
            <w:shd w:fill="20A4C2"/>
          </w:tcPr>
          <w:p/>
        </w:tc>
        <w:tc>
          <w:tcPr>
            <w:tcW w:type="dxa" w:w="9180"/>
            <w:tcMar>
              <w:top w:w="120" w:type="dxa"/>
              <w:start w:w="160" w:type="dxa"/>
              <w:bottom w:w="120" w:type="dxa"/>
              <w:end w:w="160" w:type="dxa"/>
            </w:tcMar>
            <w:vAlign w:val="center"/>
            <w:shd w:fill="EAF7FA"/>
          </w:tcPr>
          <w:p>
            <w:r>
              <w:rPr>
                <w:rFonts w:ascii="Calibri" w:hAnsi="Calibri" w:eastAsia="Calibri"/>
                <w:b/>
                <w:color w:val="283244"/>
              </w:rPr>
              <w:t>Assistance iPowerWorld</w:t>
              <w:br/>
            </w:r>
            <w:r>
              <w:rPr>
                <w:rFonts w:ascii="Calibri" w:hAnsi="Calibri" w:eastAsia="Calibri"/>
                <w:color w:val="30343B"/>
                <w:sz w:val="21"/>
              </w:rPr>
              <w:t>Pour une question fonctionnelle, une anomalie ou un besoin de paramétrage, indiquez votre entité, l’agence, la caisse, la référence de l’objet concerné et une capture du message. Contact : csa@ipowerworld.net.</w:t>
            </w:r>
          </w:p>
        </w:tc>
      </w:tr>
    </w:tbl>
    <w:p>
      <w:pPr>
        <w:spacing w:after="0"/>
      </w:pPr>
    </w:p>
    <w:sectPr w:rsidR="00FC693F" w:rsidRPr="0006063C" w:rsidSect="00034616">
      <w:headerReference w:type="default" r:id="rId9"/>
      <w:footerReference w:type="default" r:id="rId10"/>
      <w:pgSz w:w="12240" w:h="15840"/>
      <w:pgMar w:top="1152" w:right="1440" w:bottom="1080"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Pr>
    <w:tblGrid>
      <w:gridCol w:w="3300"/>
      <w:gridCol w:w="4260"/>
      <w:gridCol w:w="1800"/>
    </w:tblGrid>
    <w:tr>
      <w:tc>
        <w:tcPr>
          <w:tcW w:type="dxa" w:w="3300"/>
          <w:tcMar>
            <w:top w:w="30" w:type="dxa"/>
            <w:start w:w="0" w:type="dxa"/>
            <w:bottom w:w="0" w:type="dxa"/>
            <w:end w:w="0" w:type="dxa"/>
          </w:tcMar>
          <w:vAlign w:val="center"/>
        </w:tcPr>
        <w:p>
          <w:r>
            <w:rPr>
              <w:rFonts w:ascii="Calibri" w:hAnsi="Calibri" w:eastAsia="Calibri"/>
              <w:color w:val="6B7280"/>
              <w:sz w:val="17"/>
            </w:rPr>
            <w:t>PowerERP · Agence 2.0.0</w:t>
          </w:r>
        </w:p>
      </w:tc>
      <w:tc>
        <w:tcPr>
          <w:tcW w:type="dxa" w:w="4260"/>
          <w:tcMar>
            <w:top w:w="30" w:type="dxa"/>
            <w:start w:w="0" w:type="dxa"/>
            <w:bottom w:w="0" w:type="dxa"/>
            <w:end w:w="0" w:type="dxa"/>
          </w:tcMar>
          <w:vAlign w:val="center"/>
        </w:tcPr>
        <w:p>
          <w:pPr>
            <w:jc w:val="center"/>
          </w:pPr>
          <w:hyperlink r:id="rId1">
            <w:r>
              <w:rPr>
                <w:color w:val="1971AC"/>
                <w:rFonts w:ascii="Calibri" w:hAnsi="Calibri"/>
              </w:rPr>
              <w:t>csa@ipowerworld.net</w:t>
            </w:r>
          </w:hyperlink>
        </w:p>
      </w:tc>
      <w:tc>
        <w:tcPr>
          <w:tcW w:type="dxa" w:w="1800"/>
          <w:tcMar>
            <w:top w:w="30" w:type="dxa"/>
            <w:start w:w="0" w:type="dxa"/>
            <w:bottom w:w="0" w:type="dxa"/>
            <w:end w:w="0" w:type="dxa"/>
          </w:tcMar>
          <w:vAlign w:val="center"/>
        </w:tcPr>
        <w:p>
          <w:pPr>
            <w:jc w:val="right"/>
          </w:pPr>
          <w:r>
            <w:rPr>
              <w:rFonts w:ascii="Calibri" w:hAnsi="Calibri" w:eastAsia="Calibri"/>
              <w:color w:val="6B7280"/>
              <w:sz w:val="17"/>
            </w:rPr>
            <w:t xml:space="preserve">Page </w:t>
          </w:r>
          <w:r>
            <w:rPr>
              <w:rFonts w:ascii="Calibri" w:hAnsi="Calibri" w:eastAsia="Calibri"/>
              <w:color w:val="6B7280"/>
              <w:sz w:val="17"/>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0" w:type="dxa"/>
    </w:tblPr>
    <w:tblGrid>
      <w:gridCol w:w="2100"/>
      <w:gridCol w:w="7260"/>
    </w:tblGrid>
    <w:tr>
      <w:tc>
        <w:tcPr>
          <w:tcW w:type="dxa" w:w="2100"/>
          <w:tcMar>
            <w:top w:w="0" w:type="dxa"/>
            <w:start w:w="0" w:type="dxa"/>
            <w:bottom w:w="30" w:type="dxa"/>
            <w:end w:w="0" w:type="dxa"/>
          </w:tcMar>
          <w:vAlign w:val="center"/>
        </w:tcPr>
        <w:p>
          <w:r>
            <w:drawing>
              <wp:inline xmlns:a="http://schemas.openxmlformats.org/drawingml/2006/main" xmlns:pic="http://schemas.openxmlformats.org/drawingml/2006/picture">
                <wp:extent cx="1234440" cy="436258"/>
                <wp:docPr id="1" name="Picture 1"/>
                <wp:cNvGraphicFramePr>
                  <a:graphicFrameLocks noChangeAspect="1"/>
                </wp:cNvGraphicFramePr>
                <a:graphic>
                  <a:graphicData uri="http://schemas.openxmlformats.org/drawingml/2006/picture">
                    <pic:pic>
                      <pic:nvPicPr>
                        <pic:cNvPr id="0" name="ipowerworld-logo.png"/>
                        <pic:cNvPicPr/>
                      </pic:nvPicPr>
                      <pic:blipFill>
                        <a:blip r:embed="rId1"/>
                        <a:stretch>
                          <a:fillRect/>
                        </a:stretch>
                      </pic:blipFill>
                      <pic:spPr>
                        <a:xfrm>
                          <a:off x="0" y="0"/>
                          <a:ext cx="1234440" cy="436258"/>
                        </a:xfrm>
                        <a:prstGeom prst="rect"/>
                      </pic:spPr>
                    </pic:pic>
                  </a:graphicData>
                </a:graphic>
              </wp:inline>
            </w:drawing>
          </w:r>
        </w:p>
      </w:tc>
      <w:tc>
        <w:tcPr>
          <w:tcW w:type="dxa" w:w="7260"/>
          <w:tcMar>
            <w:top w:w="0" w:type="dxa"/>
            <w:start w:w="0" w:type="dxa"/>
            <w:bottom w:w="30" w:type="dxa"/>
            <w:end w:w="0" w:type="dxa"/>
          </w:tcMar>
          <w:vAlign w:val="center"/>
        </w:tcPr>
        <w:p>
          <w:pPr>
            <w:jc w:val="right"/>
          </w:pPr>
          <w:r>
            <w:rPr>
              <w:rFonts w:ascii="Calibri" w:hAnsi="Calibri" w:eastAsia="Calibri"/>
              <w:b/>
              <w:color w:val="283244"/>
              <w:sz w:val="17"/>
            </w:rPr>
            <w:t>Présentation globale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eastAsia="Calibri"/>
      <w:color w:val="3034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eastAsia="Calibri"/>
      <w:b/>
      <w:bCs/>
      <w:color w:val="283244"/>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eastAsia="Calibri"/>
      <w:b/>
      <w:bCs/>
      <w:color w:val="1971AC"/>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eastAsia="Calibri"/>
      <w:b/>
      <w:bCs/>
      <w:color w:val="2832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Calibri"/>
      <w:b/>
      <w:color w:val="2832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pPr>
    <w:rPr>
      <w:rFonts w:asciiTheme="majorHAnsi" w:eastAsiaTheme="majorEastAsia" w:hAnsiTheme="majorHAnsi" w:cstheme="majorBidi" w:ascii="Calibri" w:hAnsi="Calibri" w:eastAsia="Calibri"/>
      <w:b w:val="0"/>
      <w:i/>
      <w:iCs/>
      <w:color w:val="1971A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Calibri"/>
      <w:color w:val="30343B"/>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Calibri"/>
      <w:color w:val="30343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mailto:csa@ipowerworld.net"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csa@ipowerworld.n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globale du module Agence</dc:title>
  <dc:subject>Positionnement, fonctions et valeur du module Agence de PowerERP</dc:subject>
  <dc:creator>iPowerWorld</dc:creator>
  <cp:keywords>PowerERP, Agence, Dolibarr, iPowerWorld, caisse, contrôle, finance</cp:keywords>
  <dc:description>PowerERP — Module Agence 2.0.0</dc:description>
  <cp:lastModifiedBy/>
  <cp:revision>1</cp:revision>
  <dcterms:created xsi:type="dcterms:W3CDTF">2013-12-23T23:15:00Z</dcterms:created>
  <dcterms:modified xsi:type="dcterms:W3CDTF">2013-12-23T23:15:00Z</dcterms:modified>
  <cp:category/>
</cp:coreProperties>
</file>