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drawing>
          <wp:inline xmlns:a="http://schemas.openxmlformats.org/drawingml/2006/main" xmlns:pic="http://schemas.openxmlformats.org/drawingml/2006/picture">
            <wp:extent cx="4297680" cy="1518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owerworld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51882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c>
          <w:tcPr>
            <w:tcW w:type="dxa" w:w="9360"/>
            <w:tcMar>
              <w:top w:w="22" w:type="dxa"/>
              <w:start w:w="0" w:type="dxa"/>
              <w:bottom w:w="22" w:type="dxa"/>
              <w:end w:w="0" w:type="dxa"/>
            </w:tcMar>
            <w:vAlign w:val="center"/>
            <w:shd w:fill="E45510"/>
          </w:tcPr>
          <w:p>
            <w:r>
              <w:t xml:space="preserve"> </w:t>
            </w:r>
          </w:p>
        </w:tc>
      </w:tr>
    </w:tbl>
    <w:p>
      <w:pPr>
        <w:pStyle w:val="Title"/>
        <w:spacing w:before="760"/>
        <w:jc w:val="center"/>
      </w:pPr>
      <w:r>
        <w:rPr>
          <w:rFonts w:ascii="Calibri" w:hAnsi="Calibri" w:eastAsia="Calibri"/>
          <w:b/>
          <w:color w:val="283244"/>
          <w:sz w:val="54"/>
        </w:rPr>
        <w:t>Module Agence</w:t>
      </w:r>
    </w:p>
    <w:p>
      <w:pPr>
        <w:pStyle w:val="Subtitle"/>
        <w:jc w:val="center"/>
      </w:pPr>
      <w:r>
        <w:rPr>
          <w:rFonts w:ascii="Calibri" w:hAnsi="Calibri" w:eastAsia="Calibri"/>
          <w:color w:val="1971AC"/>
          <w:sz w:val="28"/>
        </w:rPr>
        <w:t>Quick Start — du paramétrage au premier encaissement</w:t>
      </w:r>
    </w:p>
    <w:p>
      <w:pPr>
        <w:spacing w:before="320"/>
        <w:jc w:val="center"/>
      </w:pPr>
      <w:r>
        <w:rPr>
          <w:rFonts w:ascii="Calibri" w:hAnsi="Calibri" w:eastAsia="Calibri"/>
          <w:b/>
          <w:color w:val="E45510"/>
          <w:sz w:val="24"/>
        </w:rPr>
        <w:t>PowerERP · Module Agence 2.0.0</w:t>
      </w:r>
    </w:p>
    <w:p>
      <w:pPr>
        <w:jc w:val="center"/>
      </w:pPr>
      <w:r>
        <w:rPr>
          <w:rFonts w:ascii="Calibri" w:hAnsi="Calibri" w:eastAsia="Calibri"/>
          <w:color w:val="6B7280"/>
          <w:sz w:val="21"/>
        </w:rPr>
        <w:t>Public : Administrateurs, responsables d’agence et caissiers</w:t>
        <w:br/>
        <w:t>Édition : Août 2026</w:t>
      </w:r>
    </w:p>
    <w:tbl>
      <w:tblPr>
        <w:tblW w:type="dxa" w:w="6000"/>
        <w:jc w:val="left"/>
        <w:tblLayout w:type="fixed"/>
        <w:tblLook w:firstColumn="1" w:firstRow="1" w:lastColumn="0" w:lastRow="0" w:noHBand="0" w:noVBand="1" w:val="04A0"/>
        <w:tblInd w:w="1680" w:type="dxa"/>
      </w:tblPr>
      <w:tblGrid>
        <w:gridCol w:w="6000"/>
      </w:tblGrid>
      <w:tr>
        <w:tc>
          <w:tcPr>
            <w:tcW w:type="dxa" w:w="600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7FA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283244"/>
                <w:sz w:val="21"/>
              </w:rPr>
              <w:t>Éditeur et ressource : iPowerWorld</w:t>
              <w:br/>
            </w:r>
            <w:hyperlink r:id="rId12">
              <w:r>
                <w:rPr>
                  <w:color w:val="1971AC"/>
                  <w:u w:val="single"/>
                  <w:rFonts w:ascii="Calibri" w:hAnsi="Calibri"/>
                </w:rPr>
                <w:t>csa@ipowerworld.net</w:t>
              </w:r>
            </w:hyperlink>
          </w:p>
        </w:tc>
      </w:tr>
    </w:tbl>
    <w:p>
      <w:pPr>
        <w:spacing w:before="560"/>
        <w:jc w:val="center"/>
      </w:pPr>
      <w:r>
        <w:rPr>
          <w:rFonts w:ascii="Calibri" w:hAnsi="Calibri" w:eastAsia="Calibri"/>
          <w:b/>
          <w:color w:val="E45510"/>
          <w:sz w:val="17"/>
        </w:rPr>
        <w:t>EMPOWERS YOUR WORLD</w:t>
      </w:r>
    </w:p>
    <w:p>
      <w:r>
        <w:br w:type="page"/>
      </w:r>
    </w:p>
    <w:p>
      <w:pPr>
        <w:pStyle w:val="Heading1"/>
      </w:pPr>
      <w:r>
        <w:t>1. Avant de commencer</w:t>
      </w:r>
    </w:p>
    <w:p>
      <w:pPr>
        <w:spacing w:after="200"/>
      </w:pPr>
      <w:r>
        <w:rPr>
          <w:rFonts w:ascii="Calibri" w:hAnsi="Calibri" w:eastAsia="Calibri"/>
          <w:color w:val="283244"/>
          <w:sz w:val="23"/>
        </w:rPr>
        <w:t>Objectif : obtenir une première journée de caisse traçable, sans contourner les contrôles essentiels.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  <w:shd w:fill="E45510"/>
          </w:tcPr>
          <w:p/>
        </w:tc>
        <w:tc>
          <w:tcPr>
            <w:tcW w:type="dxa" w:w="918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1E8"/>
          </w:tcPr>
          <w:p>
            <w:r>
              <w:rPr>
                <w:rFonts w:ascii="Calibri" w:hAnsi="Calibri" w:eastAsia="Calibri"/>
                <w:b/>
                <w:color w:val="283244"/>
              </w:rPr>
              <w:t>Précondition critique</w:t>
              <w:br/>
            </w:r>
            <w:r>
              <w:rPr>
                <w:rFonts w:ascii="Calibri" w:hAnsi="Calibri" w:eastAsia="Calibri"/>
                <w:color w:val="30343B"/>
                <w:sz w:val="21"/>
              </w:rPr>
              <w:t>Le module SofOps doit être désactivé. Le module Agence 2.0.0 est le module opérationnel unique à conserver.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9"/>
              </w:rPr>
              <w:t>Minimum requis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Modules Dolibarr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Tiers, produits/services, factures, paiements, banque/caisse ; TakePOS et comptabilité selon usage</w:t>
            </w:r>
          </w:p>
        </w:tc>
      </w:tr>
      <w:tr>
        <w:tc>
          <w:tcPr>
            <w:tcW w:type="dxa" w:w="27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Organisation</w:t>
            </w:r>
          </w:p>
        </w:tc>
        <w:tc>
          <w:tcPr>
            <w:tcW w:type="dxa" w:w="66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1 agence active, 1 DAS actif et 1 caisse active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Finance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Comptes configurés pour espèces, carte, chèque, mobile et autres modes utilisés</w:t>
            </w:r>
          </w:p>
        </w:tc>
      </w:tr>
      <w:tr>
        <w:tc>
          <w:tcPr>
            <w:tcW w:type="dxa" w:w="27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Accès</w:t>
            </w:r>
          </w:p>
        </w:tc>
        <w:tc>
          <w:tcPr>
            <w:tcW w:type="dxa" w:w="66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Groupes et droits Agence ; périmètre de l’utilisateur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Contrôle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Workflow de clôture et seuils d’écart validés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Démarrage administrateur en 10 étapes</w:t>
      </w:r>
    </w:p>
    <w:p>
      <w:pPr>
        <w:spacing w:after="200"/>
      </w:pPr>
      <w:r>
        <w:rPr>
          <w:rFonts w:ascii="Calibri" w:hAnsi="Calibri" w:eastAsia="Calibri"/>
          <w:color w:val="283244"/>
          <w:sz w:val="23"/>
        </w:rPr>
        <w:t>Suivez l’ordre ci-dessous : chaque étape prépare la suivante.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Dans Accueil &gt; Configuration &gt; Modules, activer Agences SOFITOUL et vérifier que SofOps est désactivé.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Dans Agence &gt; Configuration, conserver l’audit, le reporting et l’obligation de session ouverte activés.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Créer l’agence et renseigner sa référence, son libellé et son statut actif.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Créer le ou les DAS ; définir les modes de paiement autorisés et rattacher les produits si cette politique est utilisée.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Créer la caisse, la rattacher à l’agence et renseigner tous les comptes financiers par mode réellement accepté.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Affecter les groupes de droits : caissier, chef de caisse, responsable d’agence, contrôle/audit, finance et administration.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Définir le périmètre agence de chaque utilisateur et les éventuels rôles transversaux.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Créer le workflow de clôture et, si besoin, ceux des différés, remboursements, BC, BST et instructions.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Pour TakePOS, associer chaque référence terminal à une agence, une caisse et éventuellement un DAS.</w:t>
      </w:r>
    </w:p>
    <w:p>
      <w:pPr>
        <w:spacing w:after="80" w:line="300" w:lineRule="auto"/>
        <w:ind w:left="540" w:hanging="271"/>
        <w:numPr>
          <w:ilvl w:val="0"/>
          <w:numId w:val="10"/>
        </w:numPr>
      </w:pPr>
      <w:r>
        <w:t>Exécuter la recette pilote et vérifier les rapports, l’audit, le dépôt banque et le rapprochement.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  <w:shd w:fill="177245"/>
          </w:tcPr>
          <w:p/>
        </w:tc>
        <w:tc>
          <w:tcPr>
            <w:tcW w:type="dxa" w:w="918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AF7EF"/>
          </w:tcPr>
          <w:p>
            <w:r>
              <w:rPr>
                <w:rFonts w:ascii="Calibri" w:hAnsi="Calibri" w:eastAsia="Calibri"/>
                <w:b/>
                <w:color w:val="283244"/>
              </w:rPr>
              <w:t>Réglage recommandé</w:t>
              <w:br/>
            </w:r>
            <w:r>
              <w:rPr>
                <w:rFonts w:ascii="Calibri" w:hAnsi="Calibri" w:eastAsia="Calibri"/>
                <w:color w:val="30343B"/>
                <w:sz w:val="21"/>
              </w:rPr>
              <w:t>Laisser AGENCE_ALLOW_SELF_APPROVAL à 0 : le demandeur ou le caissier ne valide pas sa propre opération financière.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Première journée du caissier</w:t>
      </w:r>
    </w:p>
    <w:p>
      <w:pPr>
        <w:spacing w:after="200"/>
      </w:pPr>
      <w:r>
        <w:rPr>
          <w:rFonts w:ascii="Calibri" w:hAnsi="Calibri" w:eastAsia="Calibri"/>
          <w:color w:val="283244"/>
          <w:sz w:val="23"/>
        </w:rPr>
        <w:t>Le menu Ma caisse concentre le parcours quotidien.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A4C2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1. Ouvrir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2. Encaisser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A4C2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3. Vérifier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4. Compter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0A4C2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8"/>
              </w:rPr>
              <w:t>5. Clôturer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A"/>
          </w:tcPr>
          <w:p>
            <w:pPr>
              <w:jc w:val="center"/>
            </w:pPr>
            <w:r>
              <w:rPr>
                <w:rFonts w:ascii="Calibri" w:hAnsi="Calibri" w:eastAsia="Calibri"/>
                <w:color w:val="30343B"/>
                <w:sz w:val="17"/>
              </w:rPr>
              <w:t>Choisir la caisse et saisir le fond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jc w:val="center"/>
            </w:pPr>
            <w:r>
              <w:rPr>
                <w:rFonts w:ascii="Calibri" w:hAnsi="Calibri" w:eastAsia="Calibri"/>
                <w:color w:val="30343B"/>
                <w:sz w:val="17"/>
              </w:rPr>
              <w:t>Sélectionner la facture et les modes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A"/>
          </w:tcPr>
          <w:p>
            <w:pPr>
              <w:jc w:val="center"/>
            </w:pPr>
            <w:r>
              <w:rPr>
                <w:rFonts w:ascii="Calibri" w:hAnsi="Calibri" w:eastAsia="Calibri"/>
                <w:color w:val="30343B"/>
                <w:sz w:val="17"/>
              </w:rPr>
              <w:t>Contrôler les références et montants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DF4FA"/>
          </w:tcPr>
          <w:p>
            <w:pPr>
              <w:jc w:val="center"/>
            </w:pPr>
            <w:r>
              <w:rPr>
                <w:rFonts w:ascii="Calibri" w:hAnsi="Calibri" w:eastAsia="Calibri"/>
                <w:color w:val="30343B"/>
                <w:sz w:val="17"/>
              </w:rPr>
              <w:t>Saisir les coupures et soldes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A"/>
          </w:tcPr>
          <w:p>
            <w:pPr>
              <w:jc w:val="center"/>
            </w:pPr>
            <w:r>
              <w:rPr>
                <w:rFonts w:ascii="Calibri" w:hAnsi="Calibri" w:eastAsia="Calibri"/>
                <w:color w:val="30343B"/>
                <w:sz w:val="17"/>
              </w:rPr>
              <w:t>Justifier l’écart et soumettre</w:t>
            </w:r>
          </w:p>
        </w:tc>
      </w:tr>
    </w:tbl>
    <w:p>
      <w:pPr>
        <w:spacing w:after="0"/>
      </w:pPr>
    </w:p>
    <w:p>
      <w:pPr>
        <w:pStyle w:val="Heading2"/>
      </w:pPr>
      <w:r>
        <w:t>Encaisser une facture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Ouvrir Agence &gt; Ma caisse et confirmer qu’une session est ouverte et non gelée.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Choisir Enregistrer un encaissement, puis la facture client et le DAS si demandé.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Saisir chaque composante du règlement : espèces, carte, chèque, mobile, autre ou différé.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Vérifier que la somme des composantes correspond au montant à encaisser, puis valider.</w:t>
      </w:r>
    </w:p>
    <w:p>
      <w:pPr>
        <w:spacing w:after="80" w:line="300" w:lineRule="auto"/>
        <w:ind w:left="540" w:hanging="271"/>
        <w:numPr>
          <w:ilvl w:val="0"/>
          <w:numId w:val="11"/>
        </w:numPr>
      </w:pPr>
      <w:r>
        <w:t>Contrôler le message de succès et la présence du mouvement dans Flux financiers.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  <w:shd w:fill="20A4C2"/>
          </w:tcPr>
          <w:p/>
        </w:tc>
        <w:tc>
          <w:tcPr>
            <w:tcW w:type="dxa" w:w="918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AF7FA"/>
          </w:tcPr>
          <w:p>
            <w:r>
              <w:rPr>
                <w:rFonts w:ascii="Calibri" w:hAnsi="Calibri" w:eastAsia="Calibri"/>
                <w:b/>
                <w:color w:val="283244"/>
              </w:rPr>
              <w:t>Paiement mixte</w:t>
              <w:br/>
            </w:r>
            <w:r>
              <w:rPr>
                <w:rFonts w:ascii="Calibri" w:hAnsi="Calibri" w:eastAsia="Calibri"/>
                <w:color w:val="30343B"/>
                <w:sz w:val="21"/>
              </w:rPr>
              <w:t>Exemple : 60 000 FCFA par carte + 25 000 FCFA en espèces. Le module crée deux paiements natifs et conserve une seule traçabilité opérationnelle de l’encaissement.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Opérations fréquentes</w:t>
      </w:r>
    </w:p>
    <w:p>
      <w:pPr>
        <w:spacing w:after="200"/>
      </w:pPr>
      <w:r>
        <w:rPr>
          <w:rFonts w:ascii="Calibri" w:hAnsi="Calibri" w:eastAsia="Calibri"/>
          <w:color w:val="283244"/>
          <w:sz w:val="23"/>
        </w:rPr>
        <w:t>Les exceptions restent simples lorsqu’elles sont traitées dans le bon parcours.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750"/>
        <w:gridCol w:w="2550"/>
        <w:gridCol w:w="506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Je veux…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Menu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Action essentielle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Recevoir un acompte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Enregistrer un acompte client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Choisir le client, le montant et le mode ; la facture d’acompte est créée</w:t>
            </w:r>
          </w:p>
        </w:tc>
      </w:tr>
      <w:tr>
        <w:tc>
          <w:tcPr>
            <w:tcW w:type="dxa" w:w="175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Accorder un différé</w:t>
            </w:r>
          </w:p>
        </w:tc>
        <w:tc>
          <w:tcPr>
            <w:tcW w:type="dxa" w:w="255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Paiements différés</w:t>
            </w:r>
          </w:p>
        </w:tc>
        <w:tc>
          <w:tcPr>
            <w:tcW w:type="dxa" w:w="50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Renseigner échéance, justificatif et workflow ; surveiller la créance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Faire un remboursement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Demander un remboursement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Lier la facture, motiver et soumettre ; ne pas utiliser un mouvement libre</w:t>
            </w:r>
          </w:p>
        </w:tc>
      </w:tr>
      <w:tr>
        <w:tc>
          <w:tcPr>
            <w:tcW w:type="dxa" w:w="175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Utiliser un avoir</w:t>
            </w:r>
          </w:p>
        </w:tc>
        <w:tc>
          <w:tcPr>
            <w:tcW w:type="dxa" w:w="255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Remboursements et avoirs</w:t>
            </w:r>
          </w:p>
        </w:tc>
        <w:tc>
          <w:tcPr>
            <w:tcW w:type="dxa" w:w="50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Sélectionner l’avoir disponible et tracer son utilisation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Verser au coffre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Contrôles et audit / transfert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Créer le transfert, faire réceptionner par le destinataire</w:t>
            </w:r>
          </w:p>
        </w:tc>
      </w:tr>
      <w:tr>
        <w:tc>
          <w:tcPr>
            <w:tcW w:type="dxa" w:w="175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Déposer à la banque</w:t>
            </w:r>
          </w:p>
        </w:tc>
        <w:tc>
          <w:tcPr>
            <w:tcW w:type="dxa" w:w="255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Dépôts banque</w:t>
            </w:r>
          </w:p>
        </w:tc>
        <w:tc>
          <w:tcPr>
            <w:tcW w:type="dxa" w:w="50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Créer, documenter puis rapprocher avec la ligne bancaire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Valider une demande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Mes validations en attente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7"/>
              </w:rPr>
              <w:t>Ouvrir, contrôler les preuves, approuver ou rejeter avec motif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Clôturer sans erreur</w:t>
      </w:r>
    </w:p>
    <w:p>
      <w:pPr>
        <w:spacing w:after="200"/>
      </w:pPr>
      <w:r>
        <w:rPr>
          <w:rFonts w:ascii="Calibri" w:hAnsi="Calibri" w:eastAsia="Calibri"/>
          <w:color w:val="283244"/>
          <w:sz w:val="23"/>
        </w:rPr>
        <w:t>La clôture compare le système, le comptage physique et les règlements non espèces.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Arrêter les encaissements et vérifier les opérations en attente.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Saisir le comptage détaillé des espèces par coupure et les totaux des autres modes.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Comparer le montant physique au montant théorique affiché.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En cas d’écart, recompter puis renseigner une justification factuelle ; ne pas compenser par un mouvement fictif.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Soumettre la clôture au workflow et suivre sa décision dans Mes validations en attente ou Sessions de caisse.</w:t>
      </w:r>
    </w:p>
    <w:p>
      <w:pPr>
        <w:spacing w:after="80" w:line="300" w:lineRule="auto"/>
        <w:ind w:left="540" w:hanging="271"/>
        <w:numPr>
          <w:ilvl w:val="0"/>
          <w:numId w:val="12"/>
        </w:numPr>
      </w:pPr>
      <w:r>
        <w:t>Après validation, préparer le transfert/coffre ou dépôt banque selon la procédure de l’organisation.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9"/>
              </w:rPr>
              <w:t>Blocage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971AC"/>
          </w:tcPr>
          <w:p>
            <w:r>
              <w:rPr>
                <w:rFonts w:ascii="Calibri" w:hAnsi="Calibri" w:eastAsia="Calibri"/>
                <w:b/>
                <w:color w:val="FFFFFF"/>
                <w:sz w:val="19"/>
              </w:rPr>
              <w:t>Vérification rapide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Menu absent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Droit du groupe, module actif et périmètre utilisateur</w:t>
            </w:r>
          </w:p>
        </w:tc>
      </w:tr>
      <w:tr>
        <w:tc>
          <w:tcPr>
            <w:tcW w:type="dxa" w:w="27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Encaissement refusé</w:t>
            </w:r>
          </w:p>
        </w:tc>
        <w:tc>
          <w:tcPr>
            <w:tcW w:type="dxa" w:w="66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Session ouverte, caisse non gelée, facture valide et mode autorisé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TakePOS bloqué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Terminal associé à la caisse et session ouverte</w:t>
            </w:r>
          </w:p>
        </w:tc>
      </w:tr>
      <w:tr>
        <w:tc>
          <w:tcPr>
            <w:tcW w:type="dxa" w:w="270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Validation impossible</w:t>
            </w:r>
          </w:p>
        </w:tc>
        <w:tc>
          <w:tcPr>
            <w:tcW w:type="dxa" w:w="6660"/>
            <w:shd w:fill="F3F5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Bonne étape du workflow, rôle attendu et absence d’auto-approbation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Dépôt non rapproché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Calibri"/>
                <w:color w:val="30343B"/>
                <w:sz w:val="18"/>
              </w:rPr>
              <w:t>Compte, montant, ligne bancaire et absence de rapprochement antérieur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"/>
        <w:gridCol w:w="9180"/>
      </w:tblGrid>
      <w:tr>
        <w:tc>
          <w:tcPr>
            <w:tcW w:type="dxa" w:w="180"/>
            <w:tcMar>
              <w:top w:w="80" w:type="dxa"/>
              <w:start w:w="0" w:type="dxa"/>
              <w:bottom w:w="80" w:type="dxa"/>
              <w:end w:w="0" w:type="dxa"/>
            </w:tcMar>
            <w:vAlign w:val="center"/>
            <w:shd w:fill="20A4C2"/>
          </w:tcPr>
          <w:p/>
        </w:tc>
        <w:tc>
          <w:tcPr>
            <w:tcW w:type="dxa" w:w="918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AF7FA"/>
          </w:tcPr>
          <w:p>
            <w:r>
              <w:rPr>
                <w:rFonts w:ascii="Calibri" w:hAnsi="Calibri" w:eastAsia="Calibri"/>
                <w:b/>
                <w:color w:val="283244"/>
              </w:rPr>
              <w:t>Assistance iPowerWorld</w:t>
              <w:br/>
            </w:r>
            <w:r>
              <w:rPr>
                <w:rFonts w:ascii="Calibri" w:hAnsi="Calibri" w:eastAsia="Calibri"/>
                <w:color w:val="30343B"/>
                <w:sz w:val="21"/>
              </w:rPr>
              <w:t>Pour une question fonctionnelle, une anomalie ou un besoin de paramétrage, indiquez votre entité, l’agence, la caisse, la référence de l’objet concerné et une capture du message. Contact : csa@ipowerworld.net.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3300"/>
      <w:gridCol w:w="4260"/>
      <w:gridCol w:w="1800"/>
    </w:tblGrid>
    <w:tr>
      <w:tc>
        <w:tcPr>
          <w:tcW w:type="dxa" w:w="3300"/>
          <w:tcMar>
            <w:top w:w="30" w:type="dxa"/>
            <w:start w:w="0" w:type="dxa"/>
            <w:bottom w:w="0" w:type="dxa"/>
            <w:end w:w="0" w:type="dxa"/>
          </w:tcMar>
          <w:vAlign w:val="center"/>
        </w:tcPr>
        <w:p>
          <w:r>
            <w:rPr>
              <w:rFonts w:ascii="Calibri" w:hAnsi="Calibri" w:eastAsia="Calibri"/>
              <w:color w:val="6B7280"/>
              <w:sz w:val="17"/>
            </w:rPr>
            <w:t>PowerERP · Agence 2.0.0</w:t>
          </w:r>
        </w:p>
      </w:tc>
      <w:tc>
        <w:tcPr>
          <w:tcW w:type="dxa" w:w="4260"/>
          <w:tcMar>
            <w:top w:w="3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center"/>
          </w:pPr>
          <w:hyperlink r:id="rId1">
            <w:r>
              <w:rPr>
                <w:color w:val="1971AC"/>
                <w:rFonts w:ascii="Calibri" w:hAnsi="Calibri"/>
              </w:rPr>
              <w:t>csa@ipowerworld.net</w:t>
            </w:r>
          </w:hyperlink>
        </w:p>
      </w:tc>
      <w:tc>
        <w:tcPr>
          <w:tcW w:type="dxa" w:w="1800"/>
          <w:tcMar>
            <w:top w:w="30" w:type="dxa"/>
            <w:start w:w="0" w:type="dxa"/>
            <w:bottom w:w="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Calibri" w:hAnsi="Calibri" w:eastAsia="Calibri"/>
              <w:color w:val="6B7280"/>
              <w:sz w:val="17"/>
            </w:rPr>
            <w:t xml:space="preserve">Page </w:t>
          </w:r>
          <w:r>
            <w:rPr>
              <w:rFonts w:ascii="Calibri" w:hAnsi="Calibri" w:eastAsia="Calibri"/>
              <w:color w:val="6B7280"/>
              <w:sz w:val="17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2100"/>
      <w:gridCol w:w="7260"/>
    </w:tblGrid>
    <w:tr>
      <w:tc>
        <w:tcPr>
          <w:tcW w:type="dxa" w:w="2100"/>
          <w:tcMar>
            <w:top w:w="0" w:type="dxa"/>
            <w:start w:w="0" w:type="dxa"/>
            <w:bottom w:w="30" w:type="dxa"/>
            <w:end w:w="0" w:type="dxa"/>
          </w:tcMar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1234440" cy="43625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powerwor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43625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60"/>
          <w:tcMar>
            <w:top w:w="0" w:type="dxa"/>
            <w:start w:w="0" w:type="dxa"/>
            <w:bottom w:w="30" w:type="dxa"/>
            <w:end w:w="0" w:type="dxa"/>
          </w:tcMar>
          <w:vAlign w:val="center"/>
        </w:tcPr>
        <w:p>
          <w:pPr>
            <w:jc w:val="right"/>
          </w:pPr>
          <w:r>
            <w:rPr>
              <w:rFonts w:ascii="Calibri" w:hAnsi="Calibri" w:eastAsia="Calibri"/>
              <w:b/>
              <w:color w:val="283244"/>
              <w:sz w:val="17"/>
            </w:rPr>
            <w:t>Quick Start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 w:eastAsia="Calibri"/>
      <w:color w:val="3034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832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971A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832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2832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 w:eastAsia="Calibri"/>
      <w:b w:val="0"/>
      <w:i/>
      <w:iCs/>
      <w:color w:val="1971AC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Calibri"/>
      <w:color w:val="3034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Calibri"/>
      <w:color w:val="30343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mailto:csa@ipowerworld.net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csa@ipowerworld.net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 Start du module Agence</dc:title>
  <dc:subject>Démarrage rapide du module Agence de PowerERP</dc:subject>
  <dc:creator>iPowerWorld</dc:creator>
  <cp:keywords>PowerERP, Agence, Dolibarr, iPowerWorld, caisse, contrôle, finance</cp:keywords>
  <dc:description>PowerERP — Module Agence 2.0.0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