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drawing>
          <wp:inline xmlns:a="http://schemas.openxmlformats.org/drawingml/2006/main" xmlns:pic="http://schemas.openxmlformats.org/drawingml/2006/picture">
            <wp:extent cx="4297680" cy="1518825"/>
            <wp:docPr id="1" name="Picture 1"/>
            <wp:cNvGraphicFramePr>
              <a:graphicFrameLocks noChangeAspect="1"/>
            </wp:cNvGraphicFramePr>
            <a:graphic>
              <a:graphicData uri="http://schemas.openxmlformats.org/drawingml/2006/picture">
                <pic:pic>
                  <pic:nvPicPr>
                    <pic:cNvPr id="0" name="ipowerworld-logo.png"/>
                    <pic:cNvPicPr/>
                  </pic:nvPicPr>
                  <pic:blipFill>
                    <a:blip r:embed="rId11"/>
                    <a:stretch>
                      <a:fillRect/>
                    </a:stretch>
                  </pic:blipFill>
                  <pic:spPr>
                    <a:xfrm>
                      <a:off x="0" y="0"/>
                      <a:ext cx="4297680" cy="1518825"/>
                    </a:xfrm>
                    <a:prstGeom prst="rect"/>
                  </pic:spPr>
                </pic:pic>
              </a:graphicData>
            </a:graphic>
          </wp:inline>
        </w:drawing>
      </w:r>
    </w:p>
    <w:tbl>
      <w:tblPr>
        <w:tblW w:type="dxa" w:w="9360"/>
        <w:jc w:val="left"/>
        <w:tblLayout w:type="fixed"/>
        <w:tblLook w:firstColumn="1" w:firstRow="1" w:lastColumn="0" w:lastRow="0" w:noHBand="0" w:noVBand="1" w:val="04A0"/>
        <w:tblInd w:w="0" w:type="dxa"/>
      </w:tblPr>
      <w:tblGrid>
        <w:gridCol w:w="9360"/>
      </w:tblGrid>
      <w:tr>
        <w:tc>
          <w:tcPr>
            <w:tcW w:type="dxa" w:w="9360"/>
            <w:tcMar>
              <w:top w:w="22" w:type="dxa"/>
              <w:start w:w="0" w:type="dxa"/>
              <w:bottom w:w="22" w:type="dxa"/>
              <w:end w:w="0" w:type="dxa"/>
            </w:tcMar>
            <w:vAlign w:val="center"/>
            <w:shd w:fill="1971AC"/>
          </w:tcPr>
          <w:p>
            <w:r>
              <w:t xml:space="preserve"> </w:t>
            </w:r>
          </w:p>
        </w:tc>
      </w:tr>
    </w:tbl>
    <w:p>
      <w:pPr>
        <w:pStyle w:val="Title"/>
        <w:spacing w:before="760"/>
        <w:jc w:val="center"/>
      </w:pPr>
      <w:r>
        <w:rPr>
          <w:rFonts w:ascii="Calibri" w:hAnsi="Calibri" w:eastAsia="Calibri"/>
          <w:b/>
          <w:color w:val="283244"/>
          <w:sz w:val="54"/>
        </w:rPr>
        <w:t>Module Agence</w:t>
      </w:r>
    </w:p>
    <w:p>
      <w:pPr>
        <w:pStyle w:val="Subtitle"/>
        <w:jc w:val="center"/>
      </w:pPr>
      <w:r>
        <w:rPr>
          <w:rFonts w:ascii="Calibri" w:hAnsi="Calibri" w:eastAsia="Calibri"/>
          <w:color w:val="1971AC"/>
          <w:sz w:val="28"/>
        </w:rPr>
        <w:t>Manuel utilisateur</w:t>
      </w:r>
    </w:p>
    <w:p>
      <w:pPr>
        <w:spacing w:before="320"/>
        <w:jc w:val="center"/>
      </w:pPr>
      <w:r>
        <w:rPr>
          <w:rFonts w:ascii="Calibri" w:hAnsi="Calibri" w:eastAsia="Calibri"/>
          <w:b/>
          <w:color w:val="E45510"/>
          <w:sz w:val="24"/>
        </w:rPr>
        <w:t>PowerERP · Module Agence 2.0.0</w:t>
      </w:r>
    </w:p>
    <w:p>
      <w:pPr>
        <w:jc w:val="center"/>
      </w:pPr>
      <w:r>
        <w:rPr>
          <w:rFonts w:ascii="Calibri" w:hAnsi="Calibri" w:eastAsia="Calibri"/>
          <w:color w:val="6B7280"/>
          <w:sz w:val="21"/>
        </w:rPr>
        <w:t>Public : Caissiers, chefs de caisse, responsables d’agence, contrôle, finance et direction</w:t>
        <w:br/>
        <w:t>Édition : Août 2026</w:t>
      </w:r>
    </w:p>
    <w:tbl>
      <w:tblPr>
        <w:tblW w:type="dxa" w:w="6000"/>
        <w:jc w:val="left"/>
        <w:tblLayout w:type="fixed"/>
        <w:tblLook w:firstColumn="1" w:firstRow="1" w:lastColumn="0" w:lastRow="0" w:noHBand="0" w:noVBand="1" w:val="04A0"/>
        <w:tblInd w:w="1680" w:type="dxa"/>
      </w:tblPr>
      <w:tblGrid>
        <w:gridCol w:w="6000"/>
      </w:tblGrid>
      <w:tr>
        <w:tc>
          <w:tcPr>
            <w:tcW w:type="dxa" w:w="6000"/>
            <w:tcMar>
              <w:top w:w="140" w:type="dxa"/>
              <w:start w:w="180" w:type="dxa"/>
              <w:bottom w:w="140" w:type="dxa"/>
              <w:end w:w="180" w:type="dxa"/>
            </w:tcMar>
            <w:vAlign w:val="center"/>
            <w:shd w:fill="EAF7FA"/>
          </w:tcPr>
          <w:p>
            <w:pPr>
              <w:jc w:val="center"/>
            </w:pPr>
            <w:r>
              <w:rPr>
                <w:rFonts w:ascii="Calibri" w:hAnsi="Calibri" w:eastAsia="Calibri"/>
                <w:b/>
                <w:color w:val="283244"/>
                <w:sz w:val="21"/>
              </w:rPr>
              <w:t>Éditeur et ressource : iPowerWorld</w:t>
              <w:br/>
            </w:r>
            <w:hyperlink r:id="rId12">
              <w:r>
                <w:rPr>
                  <w:color w:val="1971AC"/>
                  <w:u w:val="single"/>
                  <w:rFonts w:ascii="Calibri" w:hAnsi="Calibri"/>
                </w:rPr>
                <w:t>csa@ipowerworld.net</w:t>
              </w:r>
            </w:hyperlink>
          </w:p>
        </w:tc>
      </w:tr>
    </w:tbl>
    <w:p>
      <w:pPr>
        <w:spacing w:before="560"/>
        <w:jc w:val="center"/>
      </w:pPr>
      <w:r>
        <w:rPr>
          <w:rFonts w:ascii="Calibri" w:hAnsi="Calibri" w:eastAsia="Calibri"/>
          <w:b/>
          <w:color w:val="E45510"/>
          <w:sz w:val="17"/>
        </w:rPr>
        <w:t>EMPOWERS YOUR WORLD</w:t>
      </w:r>
    </w:p>
    <w:p>
      <w:r>
        <w:br w:type="page"/>
      </w:r>
    </w:p>
    <w:p>
      <w:pPr>
        <w:pStyle w:val="Heading1"/>
      </w:pPr>
      <w:r>
        <w:t>1. Objet et principes</w:t>
      </w:r>
    </w:p>
    <w:p>
      <w:pPr>
        <w:spacing w:after="200"/>
      </w:pPr>
      <w:r>
        <w:rPr>
          <w:rFonts w:ascii="Calibri" w:hAnsi="Calibri" w:eastAsia="Calibri"/>
          <w:color w:val="283244"/>
          <w:sz w:val="23"/>
        </w:rPr>
        <w:t>Ce manuel décrit l’utilisation quotidienne du module Agence 2.0.0 dans PowerERP.</w:t>
      </w:r>
    </w:p>
    <w:p>
      <w:r>
        <w:rPr>
          <w:rFonts w:ascii="Calibri" w:hAnsi="Calibri" w:eastAsia="Calibri"/>
        </w:rPr>
        <w:t>Le module organise les opérations par agence, DAS, caisse et session. Il s’appuie sur les tiers, factures, paiements, comptes et documents natifs de Dolibarr. Les actions visibles dépendent de vos droits et de votre périmètre.</w:t>
      </w:r>
    </w:p>
    <w:tbl>
      <w:tblPr>
        <w:tblW w:type="dxa" w:w="9360"/>
        <w:tblLayout w:type="fixed"/>
        <w:tblLook w:firstColumn="1" w:firstRow="1" w:lastColumn="0" w:lastRow="0" w:noHBand="0" w:noVBand="1" w:val="04A0"/>
        <w:jc w:val="left"/>
        <w:tblInd w:w="0" w:type="dxa"/>
      </w:tblPr>
      <w:tblGrid>
        <w:gridCol w:w="2200"/>
        <w:gridCol w:w="7160"/>
      </w:tblGrid>
      <w:tr>
        <w:trPr>
          <w:tblHeader w:val="true"/>
        </w:trPr>
        <w:tc>
          <w:tcPr>
            <w:tcW w:type="dxa" w:w="2200"/>
            <w:tcMar>
              <w:top w:w="80" w:type="dxa"/>
              <w:start w:w="120" w:type="dxa"/>
              <w:bottom w:w="80" w:type="dxa"/>
              <w:end w:w="120" w:type="dxa"/>
            </w:tcMar>
            <w:vAlign w:val="center"/>
            <w:shd w:fill="1971AC"/>
          </w:tcPr>
          <w:p>
            <w:r>
              <w:rPr>
                <w:rFonts w:ascii="Calibri" w:hAnsi="Calibri" w:eastAsia="Calibri"/>
                <w:b/>
                <w:color w:val="FFFFFF"/>
                <w:sz w:val="19"/>
              </w:rPr>
              <w:t>Concept</w:t>
            </w:r>
          </w:p>
        </w:tc>
        <w:tc>
          <w:tcPr>
            <w:tcW w:type="dxa" w:w="7160"/>
            <w:tcMar>
              <w:top w:w="80" w:type="dxa"/>
              <w:start w:w="120" w:type="dxa"/>
              <w:bottom w:w="80" w:type="dxa"/>
              <w:end w:w="120" w:type="dxa"/>
            </w:tcMar>
            <w:vAlign w:val="center"/>
            <w:shd w:fill="1971AC"/>
          </w:tcPr>
          <w:p>
            <w:r>
              <w:rPr>
                <w:rFonts w:ascii="Calibri" w:hAnsi="Calibri" w:eastAsia="Calibri"/>
                <w:b/>
                <w:color w:val="FFFFFF"/>
                <w:sz w:val="19"/>
              </w:rPr>
              <w:t>Définition pratique</w:t>
            </w:r>
          </w:p>
        </w:tc>
      </w:tr>
      <w:tr>
        <w:tc>
          <w:tcPr>
            <w:tcW w:type="dxa" w:w="2200"/>
            <w:tcMar>
              <w:top w:w="80" w:type="dxa"/>
              <w:start w:w="120" w:type="dxa"/>
              <w:bottom w:w="80" w:type="dxa"/>
              <w:end w:w="120" w:type="dxa"/>
            </w:tcMar>
            <w:vAlign w:val="center"/>
          </w:tcPr>
          <w:p>
            <w:r>
              <w:rPr>
                <w:rFonts w:ascii="Calibri" w:hAnsi="Calibri" w:eastAsia="Calibri"/>
                <w:color w:val="30343B"/>
                <w:sz w:val="18"/>
              </w:rPr>
              <w:t>Agence</w:t>
            </w:r>
          </w:p>
        </w:tc>
        <w:tc>
          <w:tcPr>
            <w:tcW w:type="dxa" w:w="7160"/>
            <w:tcMar>
              <w:top w:w="80" w:type="dxa"/>
              <w:start w:w="120" w:type="dxa"/>
              <w:bottom w:w="80" w:type="dxa"/>
              <w:end w:w="120" w:type="dxa"/>
            </w:tcMar>
            <w:vAlign w:val="center"/>
          </w:tcPr>
          <w:p>
            <w:r>
              <w:rPr>
                <w:rFonts w:ascii="Calibri" w:hAnsi="Calibri" w:eastAsia="Calibri"/>
                <w:color w:val="30343B"/>
                <w:sz w:val="18"/>
              </w:rPr>
              <w:t>Point opérationnel ou unité locale pilotée dans PowerERP.</w:t>
            </w:r>
          </w:p>
        </w:tc>
      </w:tr>
      <w:tr>
        <w:tc>
          <w:tcPr>
            <w:tcW w:type="dxa" w:w="2200"/>
            <w:shd w:fill="F3F5F7"/>
            <w:tcMar>
              <w:top w:w="80" w:type="dxa"/>
              <w:start w:w="120" w:type="dxa"/>
              <w:bottom w:w="80" w:type="dxa"/>
              <w:end w:w="120" w:type="dxa"/>
            </w:tcMar>
            <w:vAlign w:val="center"/>
          </w:tcPr>
          <w:p>
            <w:r>
              <w:rPr>
                <w:rFonts w:ascii="Calibri" w:hAnsi="Calibri" w:eastAsia="Calibri"/>
                <w:color w:val="30343B"/>
                <w:sz w:val="18"/>
              </w:rPr>
              <w:t>DAS</w:t>
            </w:r>
          </w:p>
        </w:tc>
        <w:tc>
          <w:tcPr>
            <w:tcW w:type="dxa" w:w="7160"/>
            <w:shd w:fill="F3F5F7"/>
            <w:tcMar>
              <w:top w:w="80" w:type="dxa"/>
              <w:start w:w="120" w:type="dxa"/>
              <w:bottom w:w="80" w:type="dxa"/>
              <w:end w:w="120" w:type="dxa"/>
            </w:tcMar>
            <w:vAlign w:val="center"/>
          </w:tcPr>
          <w:p>
            <w:r>
              <w:rPr>
                <w:rFonts w:ascii="Calibri" w:hAnsi="Calibri" w:eastAsia="Calibri"/>
                <w:color w:val="30343B"/>
                <w:sz w:val="18"/>
              </w:rPr>
              <w:t>Domaine d’activité stratégique utilisé pour qualifier l’activité, les produits et les modes autorisés.</w:t>
            </w:r>
          </w:p>
        </w:tc>
      </w:tr>
      <w:tr>
        <w:tc>
          <w:tcPr>
            <w:tcW w:type="dxa" w:w="2200"/>
            <w:tcMar>
              <w:top w:w="80" w:type="dxa"/>
              <w:start w:w="120" w:type="dxa"/>
              <w:bottom w:w="80" w:type="dxa"/>
              <w:end w:w="120" w:type="dxa"/>
            </w:tcMar>
            <w:vAlign w:val="center"/>
          </w:tcPr>
          <w:p>
            <w:r>
              <w:rPr>
                <w:rFonts w:ascii="Calibri" w:hAnsi="Calibri" w:eastAsia="Calibri"/>
                <w:color w:val="30343B"/>
                <w:sz w:val="18"/>
              </w:rPr>
              <w:t>Caisse</w:t>
            </w:r>
          </w:p>
        </w:tc>
        <w:tc>
          <w:tcPr>
            <w:tcW w:type="dxa" w:w="7160"/>
            <w:tcMar>
              <w:top w:w="80" w:type="dxa"/>
              <w:start w:w="120" w:type="dxa"/>
              <w:bottom w:w="80" w:type="dxa"/>
              <w:end w:w="120" w:type="dxa"/>
            </w:tcMar>
            <w:vAlign w:val="center"/>
          </w:tcPr>
          <w:p>
            <w:r>
              <w:rPr>
                <w:rFonts w:ascii="Calibri" w:hAnsi="Calibri" w:eastAsia="Calibri"/>
                <w:color w:val="30343B"/>
                <w:sz w:val="18"/>
              </w:rPr>
              <w:t>Poste d’encaissement rattaché à une agence et à des comptes par mode.</w:t>
            </w:r>
          </w:p>
        </w:tc>
      </w:tr>
      <w:tr>
        <w:tc>
          <w:tcPr>
            <w:tcW w:type="dxa" w:w="2200"/>
            <w:shd w:fill="F3F5F7"/>
            <w:tcMar>
              <w:top w:w="80" w:type="dxa"/>
              <w:start w:w="120" w:type="dxa"/>
              <w:bottom w:w="80" w:type="dxa"/>
              <w:end w:w="120" w:type="dxa"/>
            </w:tcMar>
            <w:vAlign w:val="center"/>
          </w:tcPr>
          <w:p>
            <w:r>
              <w:rPr>
                <w:rFonts w:ascii="Calibri" w:hAnsi="Calibri" w:eastAsia="Calibri"/>
                <w:color w:val="30343B"/>
                <w:sz w:val="18"/>
              </w:rPr>
              <w:t>Session</w:t>
            </w:r>
          </w:p>
        </w:tc>
        <w:tc>
          <w:tcPr>
            <w:tcW w:type="dxa" w:w="7160"/>
            <w:shd w:fill="F3F5F7"/>
            <w:tcMar>
              <w:top w:w="80" w:type="dxa"/>
              <w:start w:w="120" w:type="dxa"/>
              <w:bottom w:w="80" w:type="dxa"/>
              <w:end w:w="120" w:type="dxa"/>
            </w:tcMar>
            <w:vAlign w:val="center"/>
          </w:tcPr>
          <w:p>
            <w:r>
              <w:rPr>
                <w:rFonts w:ascii="Calibri" w:hAnsi="Calibri" w:eastAsia="Calibri"/>
                <w:color w:val="30343B"/>
                <w:sz w:val="18"/>
              </w:rPr>
              <w:t>Période de responsabilité d’un caissier, de l’ouverture à la clôture validée.</w:t>
            </w:r>
          </w:p>
        </w:tc>
      </w:tr>
      <w:tr>
        <w:tc>
          <w:tcPr>
            <w:tcW w:type="dxa" w:w="2200"/>
            <w:tcMar>
              <w:top w:w="80" w:type="dxa"/>
              <w:start w:w="120" w:type="dxa"/>
              <w:bottom w:w="80" w:type="dxa"/>
              <w:end w:w="120" w:type="dxa"/>
            </w:tcMar>
            <w:vAlign w:val="center"/>
          </w:tcPr>
          <w:p>
            <w:r>
              <w:rPr>
                <w:rFonts w:ascii="Calibri" w:hAnsi="Calibri" w:eastAsia="Calibri"/>
                <w:color w:val="30343B"/>
                <w:sz w:val="18"/>
              </w:rPr>
              <w:t>Périmètre</w:t>
            </w:r>
          </w:p>
        </w:tc>
        <w:tc>
          <w:tcPr>
            <w:tcW w:type="dxa" w:w="7160"/>
            <w:tcMar>
              <w:top w:w="80" w:type="dxa"/>
              <w:start w:w="120" w:type="dxa"/>
              <w:bottom w:w="80" w:type="dxa"/>
              <w:end w:w="120" w:type="dxa"/>
            </w:tcMar>
            <w:vAlign w:val="center"/>
          </w:tcPr>
          <w:p>
            <w:r>
              <w:rPr>
                <w:rFonts w:ascii="Calibri" w:hAnsi="Calibri" w:eastAsia="Calibri"/>
                <w:color w:val="30343B"/>
                <w:sz w:val="18"/>
              </w:rPr>
              <w:t>Liste des agences que l’utilisateur est autorisé à consulter ou administrer.</w:t>
            </w:r>
          </w:p>
        </w:tc>
      </w:tr>
      <w:tr>
        <w:tc>
          <w:tcPr>
            <w:tcW w:type="dxa" w:w="2200"/>
            <w:shd w:fill="F3F5F7"/>
            <w:tcMar>
              <w:top w:w="80" w:type="dxa"/>
              <w:start w:w="120" w:type="dxa"/>
              <w:bottom w:w="80" w:type="dxa"/>
              <w:end w:w="120" w:type="dxa"/>
            </w:tcMar>
            <w:vAlign w:val="center"/>
          </w:tcPr>
          <w:p>
            <w:r>
              <w:rPr>
                <w:rFonts w:ascii="Calibri" w:hAnsi="Calibri" w:eastAsia="Calibri"/>
                <w:color w:val="30343B"/>
                <w:sz w:val="18"/>
              </w:rPr>
              <w:t>Workflow</w:t>
            </w:r>
          </w:p>
        </w:tc>
        <w:tc>
          <w:tcPr>
            <w:tcW w:type="dxa" w:w="7160"/>
            <w:shd w:fill="F3F5F7"/>
            <w:tcMar>
              <w:top w:w="80" w:type="dxa"/>
              <w:start w:w="120" w:type="dxa"/>
              <w:bottom w:w="80" w:type="dxa"/>
              <w:end w:w="120" w:type="dxa"/>
            </w:tcMar>
            <w:vAlign w:val="center"/>
          </w:tcPr>
          <w:p>
            <w:r>
              <w:rPr>
                <w:rFonts w:ascii="Calibri" w:hAnsi="Calibri" w:eastAsia="Calibri"/>
                <w:color w:val="30343B"/>
                <w:sz w:val="18"/>
              </w:rPr>
              <w:t>Suite ordonnée de validations exigées pour une opération.</w:t>
            </w:r>
          </w:p>
        </w:tc>
      </w:tr>
    </w:tbl>
    <w:p>
      <w:pPr>
        <w:spacing w:after="0"/>
      </w:pPr>
    </w:p>
    <w:tbl>
      <w:tblPr>
        <w:tblW w:type="dxa" w:w="9360"/>
        <w:jc w:val="left"/>
        <w:tblLayout w:type="fixed"/>
        <w:tblLook w:firstColumn="1" w:firstRow="1" w:lastColumn="0" w:lastRow="0" w:noHBand="0" w:noVBand="1" w:val="04A0"/>
        <w:tblInd w:w="0" w:type="dxa"/>
      </w:tblPr>
      <w:tblGrid>
        <w:gridCol w:w="180"/>
        <w:gridCol w:w="9180"/>
      </w:tblGrid>
      <w:tr>
        <w:tc>
          <w:tcPr>
            <w:tcW w:type="dxa" w:w="180"/>
            <w:tcMar>
              <w:top w:w="80" w:type="dxa"/>
              <w:start w:w="0" w:type="dxa"/>
              <w:bottom w:w="80" w:type="dxa"/>
              <w:end w:w="0" w:type="dxa"/>
            </w:tcMar>
            <w:vAlign w:val="center"/>
            <w:shd w:fill="E45510"/>
          </w:tcPr>
          <w:p/>
        </w:tc>
        <w:tc>
          <w:tcPr>
            <w:tcW w:type="dxa" w:w="9180"/>
            <w:tcMar>
              <w:top w:w="120" w:type="dxa"/>
              <w:start w:w="160" w:type="dxa"/>
              <w:bottom w:w="120" w:type="dxa"/>
              <w:end w:w="160" w:type="dxa"/>
            </w:tcMar>
            <w:vAlign w:val="center"/>
            <w:shd w:fill="FFF1E8"/>
          </w:tcPr>
          <w:p>
            <w:r>
              <w:rPr>
                <w:rFonts w:ascii="Calibri" w:hAnsi="Calibri" w:eastAsia="Calibri"/>
                <w:b/>
                <w:color w:val="283244"/>
              </w:rPr>
              <w:t>Règle de base</w:t>
              <w:br/>
            </w:r>
            <w:r>
              <w:rPr>
                <w:rFonts w:ascii="Calibri" w:hAnsi="Calibri" w:eastAsia="Calibri"/>
                <w:color w:val="30343B"/>
                <w:sz w:val="21"/>
              </w:rPr>
              <w:t>Ne partagez jamais votre compte. Toute opération est rattachée à l’utilisateur connecté et peut être inscrite dans le journal d’audit.</w:t>
            </w:r>
          </w:p>
        </w:tc>
      </w:tr>
    </w:tbl>
    <w:p>
      <w:pPr>
        <w:spacing w:after="0"/>
      </w:pPr>
    </w:p>
    <w:p>
      <w:r>
        <w:br w:type="page"/>
      </w:r>
    </w:p>
    <w:p>
      <w:pPr>
        <w:pStyle w:val="Heading1"/>
      </w:pPr>
      <w:r>
        <w:t>2. Accès et menus</w:t>
      </w:r>
    </w:p>
    <w:p>
      <w:pPr>
        <w:spacing w:after="200"/>
      </w:pPr>
      <w:r>
        <w:rPr>
          <w:rFonts w:ascii="Calibri" w:hAnsi="Calibri" w:eastAsia="Calibri"/>
          <w:color w:val="283244"/>
          <w:sz w:val="23"/>
        </w:rPr>
        <w:t>Ouvrez le menu principal Agences SOFITOUL. Seuls les menus autorisés pour votre profil apparaissent.</w:t>
      </w:r>
    </w:p>
    <w:tbl>
      <w:tblPr>
        <w:tblW w:type="dxa" w:w="9360"/>
        <w:tblLayout w:type="fixed"/>
        <w:tblLook w:firstColumn="1" w:firstRow="1" w:lastColumn="0" w:lastRow="0" w:noHBand="0" w:noVBand="1" w:val="04A0"/>
        <w:jc w:val="left"/>
        <w:tblInd w:w="0" w:type="dxa"/>
      </w:tblPr>
      <w:tblGrid>
        <w:gridCol w:w="3000"/>
        <w:gridCol w:w="6360"/>
      </w:tblGrid>
      <w:tr>
        <w:trPr>
          <w:tblHeader w:val="true"/>
        </w:trPr>
        <w:tc>
          <w:tcPr>
            <w:tcW w:type="dxa" w:w="3000"/>
            <w:tcMar>
              <w:top w:w="80" w:type="dxa"/>
              <w:start w:w="120" w:type="dxa"/>
              <w:bottom w:w="80" w:type="dxa"/>
              <w:end w:w="120" w:type="dxa"/>
            </w:tcMar>
            <w:vAlign w:val="center"/>
            <w:shd w:fill="1971AC"/>
          </w:tcPr>
          <w:p>
            <w:r>
              <w:rPr>
                <w:rFonts w:ascii="Calibri" w:hAnsi="Calibri" w:eastAsia="Calibri"/>
                <w:b/>
                <w:color w:val="FFFFFF"/>
                <w:sz w:val="18"/>
              </w:rPr>
              <w:t>Menu</w:t>
            </w:r>
          </w:p>
        </w:tc>
        <w:tc>
          <w:tcPr>
            <w:tcW w:type="dxa" w:w="6360"/>
            <w:tcMar>
              <w:top w:w="80" w:type="dxa"/>
              <w:start w:w="120" w:type="dxa"/>
              <w:bottom w:w="80" w:type="dxa"/>
              <w:end w:w="120" w:type="dxa"/>
            </w:tcMar>
            <w:vAlign w:val="center"/>
            <w:shd w:fill="1971AC"/>
          </w:tcPr>
          <w:p>
            <w:r>
              <w:rPr>
                <w:rFonts w:ascii="Calibri" w:hAnsi="Calibri" w:eastAsia="Calibri"/>
                <w:b/>
                <w:color w:val="FFFFFF"/>
                <w:sz w:val="18"/>
              </w:rPr>
              <w:t>Usage</w:t>
            </w:r>
          </w:p>
        </w:tc>
      </w:tr>
      <w:tr>
        <w:tc>
          <w:tcPr>
            <w:tcW w:type="dxa" w:w="3000"/>
            <w:tcMar>
              <w:top w:w="80" w:type="dxa"/>
              <w:start w:w="120" w:type="dxa"/>
              <w:bottom w:w="80" w:type="dxa"/>
              <w:end w:w="120" w:type="dxa"/>
            </w:tcMar>
            <w:vAlign w:val="center"/>
          </w:tcPr>
          <w:p>
            <w:r>
              <w:rPr>
                <w:rFonts w:ascii="Calibri" w:hAnsi="Calibri" w:eastAsia="Calibri"/>
                <w:color w:val="30343B"/>
                <w:sz w:val="17"/>
              </w:rPr>
              <w:t>Tableau de bord agence</w:t>
            </w:r>
          </w:p>
        </w:tc>
        <w:tc>
          <w:tcPr>
            <w:tcW w:type="dxa" w:w="6360"/>
            <w:tcMar>
              <w:top w:w="80" w:type="dxa"/>
              <w:start w:w="120" w:type="dxa"/>
              <w:bottom w:w="80" w:type="dxa"/>
              <w:end w:w="120" w:type="dxa"/>
            </w:tcMar>
            <w:vAlign w:val="center"/>
          </w:tcPr>
          <w:p>
            <w:r>
              <w:rPr>
                <w:rFonts w:ascii="Calibri" w:hAnsi="Calibri" w:eastAsia="Calibri"/>
                <w:color w:val="30343B"/>
                <w:sz w:val="17"/>
              </w:rPr>
              <w:t>Vue synthétique de l’activité autorisée.</w:t>
            </w:r>
          </w:p>
        </w:tc>
      </w:tr>
      <w:tr>
        <w:tc>
          <w:tcPr>
            <w:tcW w:type="dxa" w:w="3000"/>
            <w:shd w:fill="F3F5F7"/>
            <w:tcMar>
              <w:top w:w="80" w:type="dxa"/>
              <w:start w:w="120" w:type="dxa"/>
              <w:bottom w:w="80" w:type="dxa"/>
              <w:end w:w="120" w:type="dxa"/>
            </w:tcMar>
            <w:vAlign w:val="center"/>
          </w:tcPr>
          <w:p>
            <w:r>
              <w:rPr>
                <w:rFonts w:ascii="Calibri" w:hAnsi="Calibri" w:eastAsia="Calibri"/>
                <w:color w:val="30343B"/>
                <w:sz w:val="17"/>
              </w:rPr>
              <w:t>Agences / DAS / Caisses</w:t>
            </w:r>
          </w:p>
        </w:tc>
        <w:tc>
          <w:tcPr>
            <w:tcW w:type="dxa" w:w="6360"/>
            <w:shd w:fill="F3F5F7"/>
            <w:tcMar>
              <w:top w:w="80" w:type="dxa"/>
              <w:start w:w="120" w:type="dxa"/>
              <w:bottom w:w="80" w:type="dxa"/>
              <w:end w:w="120" w:type="dxa"/>
            </w:tcMar>
            <w:vAlign w:val="center"/>
          </w:tcPr>
          <w:p>
            <w:r>
              <w:rPr>
                <w:rFonts w:ascii="Calibri" w:hAnsi="Calibri" w:eastAsia="Calibri"/>
                <w:color w:val="30343B"/>
                <w:sz w:val="17"/>
              </w:rPr>
              <w:t>Référentiels ; généralement en lecture pour les opérationnels.</w:t>
            </w:r>
          </w:p>
        </w:tc>
      </w:tr>
      <w:tr>
        <w:tc>
          <w:tcPr>
            <w:tcW w:type="dxa" w:w="3000"/>
            <w:tcMar>
              <w:top w:w="80" w:type="dxa"/>
              <w:start w:w="120" w:type="dxa"/>
              <w:bottom w:w="80" w:type="dxa"/>
              <w:end w:w="120" w:type="dxa"/>
            </w:tcMar>
            <w:vAlign w:val="center"/>
          </w:tcPr>
          <w:p>
            <w:r>
              <w:rPr>
                <w:rFonts w:ascii="Calibri" w:hAnsi="Calibri" w:eastAsia="Calibri"/>
                <w:color w:val="30343B"/>
                <w:sz w:val="17"/>
              </w:rPr>
              <w:t>Ma caisse</w:t>
            </w:r>
          </w:p>
        </w:tc>
        <w:tc>
          <w:tcPr>
            <w:tcW w:type="dxa" w:w="6360"/>
            <w:tcMar>
              <w:top w:w="80" w:type="dxa"/>
              <w:start w:w="120" w:type="dxa"/>
              <w:bottom w:w="80" w:type="dxa"/>
              <w:end w:w="120" w:type="dxa"/>
            </w:tcMar>
            <w:vAlign w:val="center"/>
          </w:tcPr>
          <w:p>
            <w:r>
              <w:rPr>
                <w:rFonts w:ascii="Calibri" w:hAnsi="Calibri" w:eastAsia="Calibri"/>
                <w:color w:val="30343B"/>
                <w:sz w:val="17"/>
              </w:rPr>
              <w:t>Ouverture, opérations et clôture de votre session.</w:t>
            </w:r>
          </w:p>
        </w:tc>
      </w:tr>
      <w:tr>
        <w:tc>
          <w:tcPr>
            <w:tcW w:type="dxa" w:w="3000"/>
            <w:shd w:fill="F3F5F7"/>
            <w:tcMar>
              <w:top w:w="80" w:type="dxa"/>
              <w:start w:w="120" w:type="dxa"/>
              <w:bottom w:w="80" w:type="dxa"/>
              <w:end w:w="120" w:type="dxa"/>
            </w:tcMar>
            <w:vAlign w:val="center"/>
          </w:tcPr>
          <w:p>
            <w:r>
              <w:rPr>
                <w:rFonts w:ascii="Calibri" w:hAnsi="Calibri" w:eastAsia="Calibri"/>
                <w:color w:val="30343B"/>
                <w:sz w:val="17"/>
              </w:rPr>
              <w:t>Sessions de caisse / Supervision</w:t>
            </w:r>
          </w:p>
        </w:tc>
        <w:tc>
          <w:tcPr>
            <w:tcW w:type="dxa" w:w="6360"/>
            <w:shd w:fill="F3F5F7"/>
            <w:tcMar>
              <w:top w:w="80" w:type="dxa"/>
              <w:start w:w="120" w:type="dxa"/>
              <w:bottom w:w="80" w:type="dxa"/>
              <w:end w:w="120" w:type="dxa"/>
            </w:tcMar>
            <w:vAlign w:val="center"/>
          </w:tcPr>
          <w:p>
            <w:r>
              <w:rPr>
                <w:rFonts w:ascii="Calibri" w:hAnsi="Calibri" w:eastAsia="Calibri"/>
                <w:color w:val="30343B"/>
                <w:sz w:val="17"/>
              </w:rPr>
              <w:t>Suivi des sessions et des anomalies.</w:t>
            </w:r>
          </w:p>
        </w:tc>
      </w:tr>
      <w:tr>
        <w:tc>
          <w:tcPr>
            <w:tcW w:type="dxa" w:w="3000"/>
            <w:tcMar>
              <w:top w:w="80" w:type="dxa"/>
              <w:start w:w="120" w:type="dxa"/>
              <w:bottom w:w="80" w:type="dxa"/>
              <w:end w:w="120" w:type="dxa"/>
            </w:tcMar>
            <w:vAlign w:val="center"/>
          </w:tcPr>
          <w:p>
            <w:r>
              <w:rPr>
                <w:rFonts w:ascii="Calibri" w:hAnsi="Calibri" w:eastAsia="Calibri"/>
                <w:color w:val="30343B"/>
                <w:sz w:val="17"/>
              </w:rPr>
              <w:t>Flux financiers / Acompte</w:t>
            </w:r>
          </w:p>
        </w:tc>
        <w:tc>
          <w:tcPr>
            <w:tcW w:type="dxa" w:w="6360"/>
            <w:tcMar>
              <w:top w:w="80" w:type="dxa"/>
              <w:start w:w="120" w:type="dxa"/>
              <w:bottom w:w="80" w:type="dxa"/>
              <w:end w:w="120" w:type="dxa"/>
            </w:tcMar>
            <w:vAlign w:val="center"/>
          </w:tcPr>
          <w:p>
            <w:r>
              <w:rPr>
                <w:rFonts w:ascii="Calibri" w:hAnsi="Calibri" w:eastAsia="Calibri"/>
                <w:color w:val="30343B"/>
                <w:sz w:val="17"/>
              </w:rPr>
              <w:t>Encaissements et création d’un acompte client.</w:t>
            </w:r>
          </w:p>
        </w:tc>
      </w:tr>
      <w:tr>
        <w:tc>
          <w:tcPr>
            <w:tcW w:type="dxa" w:w="3000"/>
            <w:shd w:fill="F3F5F7"/>
            <w:tcMar>
              <w:top w:w="80" w:type="dxa"/>
              <w:start w:w="120" w:type="dxa"/>
              <w:bottom w:w="80" w:type="dxa"/>
              <w:end w:w="120" w:type="dxa"/>
            </w:tcMar>
            <w:vAlign w:val="center"/>
          </w:tcPr>
          <w:p>
            <w:r>
              <w:rPr>
                <w:rFonts w:ascii="Calibri" w:hAnsi="Calibri" w:eastAsia="Calibri"/>
                <w:color w:val="30343B"/>
                <w:sz w:val="17"/>
              </w:rPr>
              <w:t>Paiements différés / Créances</w:t>
            </w:r>
          </w:p>
        </w:tc>
        <w:tc>
          <w:tcPr>
            <w:tcW w:type="dxa" w:w="6360"/>
            <w:shd w:fill="F3F5F7"/>
            <w:tcMar>
              <w:top w:w="80" w:type="dxa"/>
              <w:start w:w="120" w:type="dxa"/>
              <w:bottom w:w="80" w:type="dxa"/>
              <w:end w:w="120" w:type="dxa"/>
            </w:tcMar>
            <w:vAlign w:val="center"/>
          </w:tcPr>
          <w:p>
            <w:r>
              <w:rPr>
                <w:rFonts w:ascii="Calibri" w:hAnsi="Calibri" w:eastAsia="Calibri"/>
                <w:color w:val="30343B"/>
                <w:sz w:val="17"/>
              </w:rPr>
              <w:t>Suivi des échéances et soldes clients.</w:t>
            </w:r>
          </w:p>
        </w:tc>
      </w:tr>
      <w:tr>
        <w:tc>
          <w:tcPr>
            <w:tcW w:type="dxa" w:w="3000"/>
            <w:tcMar>
              <w:top w:w="80" w:type="dxa"/>
              <w:start w:w="120" w:type="dxa"/>
              <w:bottom w:w="80" w:type="dxa"/>
              <w:end w:w="120" w:type="dxa"/>
            </w:tcMar>
            <w:vAlign w:val="center"/>
          </w:tcPr>
          <w:p>
            <w:r>
              <w:rPr>
                <w:rFonts w:ascii="Calibri" w:hAnsi="Calibri" w:eastAsia="Calibri"/>
                <w:color w:val="30343B"/>
                <w:sz w:val="17"/>
              </w:rPr>
              <w:t>Remboursements et avoirs</w:t>
            </w:r>
          </w:p>
        </w:tc>
        <w:tc>
          <w:tcPr>
            <w:tcW w:type="dxa" w:w="6360"/>
            <w:tcMar>
              <w:top w:w="80" w:type="dxa"/>
              <w:start w:w="120" w:type="dxa"/>
              <w:bottom w:w="80" w:type="dxa"/>
              <w:end w:w="120" w:type="dxa"/>
            </w:tcMar>
            <w:vAlign w:val="center"/>
          </w:tcPr>
          <w:p>
            <w:r>
              <w:rPr>
                <w:rFonts w:ascii="Calibri" w:hAnsi="Calibri" w:eastAsia="Calibri"/>
                <w:color w:val="30343B"/>
                <w:sz w:val="17"/>
              </w:rPr>
              <w:t>Demandes, validations, exécutions et utilisation d’avoirs.</w:t>
            </w:r>
          </w:p>
        </w:tc>
      </w:tr>
      <w:tr>
        <w:tc>
          <w:tcPr>
            <w:tcW w:type="dxa" w:w="3000"/>
            <w:shd w:fill="F3F5F7"/>
            <w:tcMar>
              <w:top w:w="80" w:type="dxa"/>
              <w:start w:w="120" w:type="dxa"/>
              <w:bottom w:w="80" w:type="dxa"/>
              <w:end w:w="120" w:type="dxa"/>
            </w:tcMar>
            <w:vAlign w:val="center"/>
          </w:tcPr>
          <w:p>
            <w:r>
              <w:rPr>
                <w:rFonts w:ascii="Calibri" w:hAnsi="Calibri" w:eastAsia="Calibri"/>
                <w:color w:val="30343B"/>
                <w:sz w:val="17"/>
              </w:rPr>
              <w:t>Contrôles et audit / Dépôts banque</w:t>
            </w:r>
          </w:p>
        </w:tc>
        <w:tc>
          <w:tcPr>
            <w:tcW w:type="dxa" w:w="6360"/>
            <w:shd w:fill="F3F5F7"/>
            <w:tcMar>
              <w:top w:w="80" w:type="dxa"/>
              <w:start w:w="120" w:type="dxa"/>
              <w:bottom w:w="80" w:type="dxa"/>
              <w:end w:w="120" w:type="dxa"/>
            </w:tcMar>
            <w:vAlign w:val="center"/>
          </w:tcPr>
          <w:p>
            <w:r>
              <w:rPr>
                <w:rFonts w:ascii="Calibri" w:hAnsi="Calibri" w:eastAsia="Calibri"/>
                <w:color w:val="30343B"/>
                <w:sz w:val="17"/>
              </w:rPr>
              <w:t>Contrôles, gel, transferts, dépôts et rapprochements.</w:t>
            </w:r>
          </w:p>
        </w:tc>
      </w:tr>
      <w:tr>
        <w:tc>
          <w:tcPr>
            <w:tcW w:type="dxa" w:w="3000"/>
            <w:tcMar>
              <w:top w:w="80" w:type="dxa"/>
              <w:start w:w="120" w:type="dxa"/>
              <w:bottom w:w="80" w:type="dxa"/>
              <w:end w:w="120" w:type="dxa"/>
            </w:tcMar>
            <w:vAlign w:val="center"/>
          </w:tcPr>
          <w:p>
            <w:r>
              <w:rPr>
                <w:rFonts w:ascii="Calibri" w:hAnsi="Calibri" w:eastAsia="Calibri"/>
                <w:color w:val="30343B"/>
                <w:sz w:val="17"/>
              </w:rPr>
              <w:t>Mes validations en attente</w:t>
            </w:r>
          </w:p>
        </w:tc>
        <w:tc>
          <w:tcPr>
            <w:tcW w:type="dxa" w:w="6360"/>
            <w:tcMar>
              <w:top w:w="80" w:type="dxa"/>
              <w:start w:w="120" w:type="dxa"/>
              <w:bottom w:w="80" w:type="dxa"/>
              <w:end w:w="120" w:type="dxa"/>
            </w:tcMar>
            <w:vAlign w:val="center"/>
          </w:tcPr>
          <w:p>
            <w:r>
              <w:rPr>
                <w:rFonts w:ascii="Calibri" w:hAnsi="Calibri" w:eastAsia="Calibri"/>
                <w:color w:val="30343B"/>
                <w:sz w:val="17"/>
              </w:rPr>
              <w:t>Décisions qui vous sont assignées.</w:t>
            </w:r>
          </w:p>
        </w:tc>
      </w:tr>
      <w:tr>
        <w:tc>
          <w:tcPr>
            <w:tcW w:type="dxa" w:w="3000"/>
            <w:shd w:fill="F3F5F7"/>
            <w:tcMar>
              <w:top w:w="80" w:type="dxa"/>
              <w:start w:w="120" w:type="dxa"/>
              <w:bottom w:w="80" w:type="dxa"/>
              <w:end w:w="120" w:type="dxa"/>
            </w:tcMar>
            <w:vAlign w:val="center"/>
          </w:tcPr>
          <w:p>
            <w:r>
              <w:rPr>
                <w:rFonts w:ascii="Calibri" w:hAnsi="Calibri" w:eastAsia="Calibri"/>
                <w:color w:val="30343B"/>
                <w:sz w:val="17"/>
              </w:rPr>
              <w:t>Statistiques / Pilotage transversal</w:t>
            </w:r>
          </w:p>
        </w:tc>
        <w:tc>
          <w:tcPr>
            <w:tcW w:type="dxa" w:w="6360"/>
            <w:shd w:fill="F3F5F7"/>
            <w:tcMar>
              <w:top w:w="80" w:type="dxa"/>
              <w:start w:w="120" w:type="dxa"/>
              <w:bottom w:w="80" w:type="dxa"/>
              <w:end w:w="120" w:type="dxa"/>
            </w:tcMar>
            <w:vAlign w:val="center"/>
          </w:tcPr>
          <w:p>
            <w:r>
              <w:rPr>
                <w:rFonts w:ascii="Calibri" w:hAnsi="Calibri" w:eastAsia="Calibri"/>
                <w:color w:val="30343B"/>
                <w:sz w:val="17"/>
              </w:rPr>
              <w:t>Rapports locaux et consolidés.</w:t>
            </w:r>
          </w:p>
        </w:tc>
      </w:tr>
      <w:tr>
        <w:tc>
          <w:tcPr>
            <w:tcW w:type="dxa" w:w="3000"/>
            <w:tcMar>
              <w:top w:w="80" w:type="dxa"/>
              <w:start w:w="120" w:type="dxa"/>
              <w:bottom w:w="80" w:type="dxa"/>
              <w:end w:w="120" w:type="dxa"/>
            </w:tcMar>
            <w:vAlign w:val="center"/>
          </w:tcPr>
          <w:p>
            <w:r>
              <w:rPr>
                <w:rFonts w:ascii="Calibri" w:hAnsi="Calibri" w:eastAsia="Calibri"/>
                <w:color w:val="30343B"/>
                <w:sz w:val="17"/>
              </w:rPr>
              <w:t>Journal d’audit</w:t>
            </w:r>
          </w:p>
        </w:tc>
        <w:tc>
          <w:tcPr>
            <w:tcW w:type="dxa" w:w="6360"/>
            <w:tcMar>
              <w:top w:w="80" w:type="dxa"/>
              <w:start w:w="120" w:type="dxa"/>
              <w:bottom w:w="80" w:type="dxa"/>
              <w:end w:w="120" w:type="dxa"/>
            </w:tcMar>
            <w:vAlign w:val="center"/>
          </w:tcPr>
          <w:p>
            <w:r>
              <w:rPr>
                <w:rFonts w:ascii="Calibri" w:hAnsi="Calibri" w:eastAsia="Calibri"/>
                <w:color w:val="30343B"/>
                <w:sz w:val="17"/>
              </w:rPr>
              <w:t>Consultation des événements sensibles.</w:t>
            </w:r>
          </w:p>
        </w:tc>
      </w:tr>
    </w:tbl>
    <w:p>
      <w:pPr>
        <w:spacing w:after="0"/>
      </w:pPr>
    </w:p>
    <w:tbl>
      <w:tblPr>
        <w:tblW w:type="dxa" w:w="9360"/>
        <w:jc w:val="left"/>
        <w:tblLayout w:type="fixed"/>
        <w:tblLook w:firstColumn="1" w:firstRow="1" w:lastColumn="0" w:lastRow="0" w:noHBand="0" w:noVBand="1" w:val="04A0"/>
        <w:tblInd w:w="0" w:type="dxa"/>
      </w:tblPr>
      <w:tblGrid>
        <w:gridCol w:w="180"/>
        <w:gridCol w:w="9180"/>
      </w:tblGrid>
      <w:tr>
        <w:tc>
          <w:tcPr>
            <w:tcW w:type="dxa" w:w="180"/>
            <w:tcMar>
              <w:top w:w="80" w:type="dxa"/>
              <w:start w:w="0" w:type="dxa"/>
              <w:bottom w:w="80" w:type="dxa"/>
              <w:end w:w="0" w:type="dxa"/>
            </w:tcMar>
            <w:vAlign w:val="center"/>
            <w:shd w:fill="20A4C2"/>
          </w:tcPr>
          <w:p/>
        </w:tc>
        <w:tc>
          <w:tcPr>
            <w:tcW w:type="dxa" w:w="9180"/>
            <w:tcMar>
              <w:top w:w="120" w:type="dxa"/>
              <w:start w:w="160" w:type="dxa"/>
              <w:bottom w:w="120" w:type="dxa"/>
              <w:end w:w="160" w:type="dxa"/>
            </w:tcMar>
            <w:vAlign w:val="center"/>
            <w:shd w:fill="EAF7FA"/>
          </w:tcPr>
          <w:p>
            <w:r>
              <w:rPr>
                <w:rFonts w:ascii="Calibri" w:hAnsi="Calibri" w:eastAsia="Calibri"/>
                <w:b/>
                <w:color w:val="283244"/>
              </w:rPr>
              <w:t>Un menu manque ?</w:t>
              <w:br/>
            </w:r>
            <w:r>
              <w:rPr>
                <w:rFonts w:ascii="Calibri" w:hAnsi="Calibri" w:eastAsia="Calibri"/>
                <w:color w:val="30343B"/>
                <w:sz w:val="21"/>
              </w:rPr>
              <w:t>Demandez à l’administrateur de vérifier le droit, le groupe et le périmètre agence. L’application ne doit pas contourner ce contrôle.</w:t>
            </w:r>
          </w:p>
        </w:tc>
      </w:tr>
    </w:tbl>
    <w:p>
      <w:pPr>
        <w:spacing w:after="0"/>
      </w:pPr>
    </w:p>
    <w:p>
      <w:r>
        <w:br w:type="page"/>
      </w:r>
    </w:p>
    <w:p>
      <w:pPr>
        <w:pStyle w:val="Heading1"/>
      </w:pPr>
      <w:r>
        <w:t>3. Ouvrir et piloter sa caisse</w:t>
      </w:r>
    </w:p>
    <w:p>
      <w:pPr>
        <w:spacing w:after="200"/>
      </w:pPr>
      <w:r>
        <w:rPr>
          <w:rFonts w:ascii="Calibri" w:hAnsi="Calibri" w:eastAsia="Calibri"/>
          <w:color w:val="283244"/>
          <w:sz w:val="23"/>
        </w:rPr>
        <w:t>Une opération financière ne doit démarrer qu’après ouverture d’une session valide.</w:t>
      </w:r>
    </w:p>
    <w:p>
      <w:pPr>
        <w:pStyle w:val="Heading2"/>
      </w:pPr>
      <w:r>
        <w:t>Ouvrir une session</w:t>
      </w:r>
    </w:p>
    <w:p>
      <w:pPr>
        <w:spacing w:after="80" w:line="300" w:lineRule="auto"/>
        <w:ind w:left="540" w:hanging="271"/>
        <w:numPr>
          <w:ilvl w:val="0"/>
          <w:numId w:val="10"/>
        </w:numPr>
      </w:pPr>
      <w:r>
        <w:t>Ouvrir Ma caisse et sélectionner la caisse autorisée.</w:t>
      </w:r>
    </w:p>
    <w:p>
      <w:pPr>
        <w:spacing w:after="80" w:line="300" w:lineRule="auto"/>
        <w:ind w:left="540" w:hanging="271"/>
        <w:numPr>
          <w:ilvl w:val="0"/>
          <w:numId w:val="10"/>
        </w:numPr>
      </w:pPr>
      <w:r>
        <w:t>Vérifier l’agence, le DAS éventuel, la devise et l’absence d’autre session incompatible.</w:t>
      </w:r>
    </w:p>
    <w:p>
      <w:pPr>
        <w:spacing w:after="80" w:line="300" w:lineRule="auto"/>
        <w:ind w:left="540" w:hanging="271"/>
        <w:numPr>
          <w:ilvl w:val="0"/>
          <w:numId w:val="10"/>
        </w:numPr>
      </w:pPr>
      <w:r>
        <w:t>Compter le fond initial, saisir le montant d’ouverture et confirmer.</w:t>
      </w:r>
    </w:p>
    <w:p>
      <w:pPr>
        <w:spacing w:after="80" w:line="300" w:lineRule="auto"/>
        <w:ind w:left="540" w:hanging="271"/>
        <w:numPr>
          <w:ilvl w:val="0"/>
          <w:numId w:val="10"/>
        </w:numPr>
      </w:pPr>
      <w:r>
        <w:t>Noter la référence de session générée ; elle identifie votre journée de caisse.</w:t>
      </w:r>
    </w:p>
    <w:p>
      <w:pPr>
        <w:pStyle w:val="Heading2"/>
      </w:pPr>
      <w:r>
        <w:t>Pendant la session</w:t>
      </w:r>
    </w:p>
    <w:p>
      <w:pPr>
        <w:pStyle w:val="ListBullet"/>
      </w:pPr>
      <w:r>
        <w:t>Vérifiez que l’état est Ouverte avant chaque encaissement.</w:t>
      </w:r>
    </w:p>
    <w:p>
      <w:pPr>
        <w:pStyle w:val="ListBullet"/>
      </w:pPr>
      <w:r>
        <w:t>Utilisez Pause/Reprise lorsque la caisse n’est temporairement pas exploitée, si ces actions sont disponibles.</w:t>
      </w:r>
    </w:p>
    <w:p>
      <w:pPr>
        <w:pStyle w:val="ListBullet"/>
      </w:pPr>
      <w:r>
        <w:t>Si la caisse est gelée pour contrôle, n’essayez pas d’enregistrer un mouvement : attendez le dégel officiel.</w:t>
      </w:r>
    </w:p>
    <w:p>
      <w:pPr>
        <w:pStyle w:val="ListBullet"/>
      </w:pPr>
      <w:r>
        <w:t>Contrôlez régulièrement les mouvements, références et montants affichés.</w:t>
      </w:r>
    </w:p>
    <w:tbl>
      <w:tblPr>
        <w:tblW w:type="dxa" w:w="9360"/>
        <w:jc w:val="left"/>
        <w:tblLayout w:type="fixed"/>
        <w:tblLook w:firstColumn="1" w:firstRow="1" w:lastColumn="0" w:lastRow="0" w:noHBand="0" w:noVBand="1" w:val="04A0"/>
        <w:tblInd w:w="0" w:type="dxa"/>
      </w:tblPr>
      <w:tblGrid>
        <w:gridCol w:w="180"/>
        <w:gridCol w:w="9180"/>
      </w:tblGrid>
      <w:tr>
        <w:tc>
          <w:tcPr>
            <w:tcW w:type="dxa" w:w="180"/>
            <w:tcMar>
              <w:top w:w="80" w:type="dxa"/>
              <w:start w:w="0" w:type="dxa"/>
              <w:bottom w:w="80" w:type="dxa"/>
              <w:end w:w="0" w:type="dxa"/>
            </w:tcMar>
            <w:vAlign w:val="center"/>
            <w:shd w:fill="E45510"/>
          </w:tcPr>
          <w:p/>
        </w:tc>
        <w:tc>
          <w:tcPr>
            <w:tcW w:type="dxa" w:w="9180"/>
            <w:tcMar>
              <w:top w:w="120" w:type="dxa"/>
              <w:start w:w="160" w:type="dxa"/>
              <w:bottom w:w="120" w:type="dxa"/>
              <w:end w:w="160" w:type="dxa"/>
            </w:tcMar>
            <w:vAlign w:val="center"/>
            <w:shd w:fill="FFF1E8"/>
          </w:tcPr>
          <w:p>
            <w:r>
              <w:rPr>
                <w:rFonts w:ascii="Calibri" w:hAnsi="Calibri" w:eastAsia="Calibri"/>
                <w:b/>
                <w:color w:val="283244"/>
              </w:rPr>
              <w:t>Session longue</w:t>
              <w:br/>
            </w:r>
            <w:r>
              <w:rPr>
                <w:rFonts w:ascii="Calibri" w:hAnsi="Calibri" w:eastAsia="Calibri"/>
                <w:color w:val="30343B"/>
                <w:sz w:val="21"/>
              </w:rPr>
              <w:t>Une alerte est créée lorsqu’une session dépasse la durée maximale configurée. Clôturez à la fin du service ; ne réutilisez pas indéfiniment la même session.</w:t>
            </w:r>
          </w:p>
        </w:tc>
      </w:tr>
    </w:tbl>
    <w:p>
      <w:pPr>
        <w:spacing w:after="0"/>
      </w:pPr>
    </w:p>
    <w:p>
      <w:r>
        <w:br w:type="page"/>
      </w:r>
    </w:p>
    <w:p>
      <w:pPr>
        <w:pStyle w:val="Heading1"/>
      </w:pPr>
      <w:r>
        <w:t>4. Encaisser une facture</w:t>
      </w:r>
    </w:p>
    <w:p>
      <w:pPr>
        <w:spacing w:after="200"/>
      </w:pPr>
      <w:r>
        <w:rPr>
          <w:rFonts w:ascii="Calibri" w:hAnsi="Calibri" w:eastAsia="Calibri"/>
          <w:color w:val="283244"/>
          <w:sz w:val="23"/>
        </w:rPr>
        <w:t>Le module produit les paiements Dolibarr et leur rattachement opérationnel.</w:t>
      </w:r>
    </w:p>
    <w:p>
      <w:pPr>
        <w:spacing w:after="80" w:line="300" w:lineRule="auto"/>
        <w:ind w:left="540" w:hanging="271"/>
        <w:numPr>
          <w:ilvl w:val="0"/>
          <w:numId w:val="11"/>
        </w:numPr>
      </w:pPr>
      <w:r>
        <w:t>Depuis Ma caisse ou Flux financiers, choisir l’action d’encaissement.</w:t>
      </w:r>
    </w:p>
    <w:p>
      <w:pPr>
        <w:spacing w:after="80" w:line="300" w:lineRule="auto"/>
        <w:ind w:left="540" w:hanging="271"/>
        <w:numPr>
          <w:ilvl w:val="0"/>
          <w:numId w:val="11"/>
        </w:numPr>
      </w:pPr>
      <w:r>
        <w:t>Sélectionner la facture et vérifier le client, le solde et la devise.</w:t>
      </w:r>
    </w:p>
    <w:p>
      <w:pPr>
        <w:spacing w:after="80" w:line="300" w:lineRule="auto"/>
        <w:ind w:left="540" w:hanging="271"/>
        <w:numPr>
          <w:ilvl w:val="0"/>
          <w:numId w:val="11"/>
        </w:numPr>
      </w:pPr>
      <w:r>
        <w:t>Choisir le DAS demandé ; les modes autorisés peuvent dépendre de l’activité et des produits facturés.</w:t>
      </w:r>
    </w:p>
    <w:p>
      <w:pPr>
        <w:spacing w:after="80" w:line="300" w:lineRule="auto"/>
        <w:ind w:left="540" w:hanging="271"/>
        <w:numPr>
          <w:ilvl w:val="0"/>
          <w:numId w:val="11"/>
        </w:numPr>
      </w:pPr>
      <w:r>
        <w:t>Ajouter une ou plusieurs composantes de règlement, chacune avec son montant et sa référence si nécessaire.</w:t>
      </w:r>
    </w:p>
    <w:p>
      <w:pPr>
        <w:spacing w:after="80" w:line="300" w:lineRule="auto"/>
        <w:ind w:left="540" w:hanging="271"/>
        <w:numPr>
          <w:ilvl w:val="0"/>
          <w:numId w:val="11"/>
        </w:numPr>
      </w:pPr>
      <w:r>
        <w:t>Vérifier le total, puis valider une seule fois et attendre le message de succès.</w:t>
      </w:r>
    </w:p>
    <w:p>
      <w:pPr>
        <w:spacing w:after="80" w:line="300" w:lineRule="auto"/>
        <w:ind w:left="540" w:hanging="271"/>
        <w:numPr>
          <w:ilvl w:val="0"/>
          <w:numId w:val="11"/>
        </w:numPr>
      </w:pPr>
      <w:r>
        <w:t>Contrôler le mouvement et, si besoin, ouvrir la facture Dolibarr pour voir les paiements natifs.</w:t>
      </w:r>
    </w:p>
    <w:tbl>
      <w:tblPr>
        <w:tblW w:type="dxa" w:w="9360"/>
        <w:tblLayout w:type="fixed"/>
        <w:tblLook w:firstColumn="1" w:firstRow="1" w:lastColumn="0" w:lastRow="0" w:noHBand="0" w:noVBand="1" w:val="04A0"/>
        <w:jc w:val="left"/>
        <w:tblInd w:w="0" w:type="dxa"/>
      </w:tblPr>
      <w:tblGrid>
        <w:gridCol w:w="1500"/>
        <w:gridCol w:w="2900"/>
        <w:gridCol w:w="4960"/>
      </w:tblGrid>
      <w:tr>
        <w:trPr>
          <w:tblHeader w:val="true"/>
        </w:trPr>
        <w:tc>
          <w:tcPr>
            <w:tcW w:type="dxa" w:w="1500"/>
            <w:tcMar>
              <w:top w:w="80" w:type="dxa"/>
              <w:start w:w="120" w:type="dxa"/>
              <w:bottom w:w="80" w:type="dxa"/>
              <w:end w:w="120" w:type="dxa"/>
            </w:tcMar>
            <w:vAlign w:val="center"/>
            <w:shd w:fill="1971AC"/>
          </w:tcPr>
          <w:p>
            <w:r>
              <w:rPr>
                <w:rFonts w:ascii="Calibri" w:hAnsi="Calibri" w:eastAsia="Calibri"/>
                <w:b/>
                <w:color w:val="FFFFFF"/>
                <w:sz w:val="18"/>
              </w:rPr>
              <w:t>Mode</w:t>
            </w:r>
          </w:p>
        </w:tc>
        <w:tc>
          <w:tcPr>
            <w:tcW w:type="dxa" w:w="2900"/>
            <w:tcMar>
              <w:top w:w="80" w:type="dxa"/>
              <w:start w:w="120" w:type="dxa"/>
              <w:bottom w:w="80" w:type="dxa"/>
              <w:end w:w="120" w:type="dxa"/>
            </w:tcMar>
            <w:vAlign w:val="center"/>
            <w:shd w:fill="1971AC"/>
          </w:tcPr>
          <w:p>
            <w:r>
              <w:rPr>
                <w:rFonts w:ascii="Calibri" w:hAnsi="Calibri" w:eastAsia="Calibri"/>
                <w:b/>
                <w:color w:val="FFFFFF"/>
                <w:sz w:val="18"/>
              </w:rPr>
              <w:t>Saisie attendue</w:t>
            </w:r>
          </w:p>
        </w:tc>
        <w:tc>
          <w:tcPr>
            <w:tcW w:type="dxa" w:w="4960"/>
            <w:tcMar>
              <w:top w:w="80" w:type="dxa"/>
              <w:start w:w="120" w:type="dxa"/>
              <w:bottom w:w="80" w:type="dxa"/>
              <w:end w:w="120" w:type="dxa"/>
            </w:tcMar>
            <w:vAlign w:val="center"/>
            <w:shd w:fill="1971AC"/>
          </w:tcPr>
          <w:p>
            <w:r>
              <w:rPr>
                <w:rFonts w:ascii="Calibri" w:hAnsi="Calibri" w:eastAsia="Calibri"/>
                <w:b/>
                <w:color w:val="FFFFFF"/>
                <w:sz w:val="18"/>
              </w:rPr>
              <w:t>Contrôle</w:t>
            </w:r>
          </w:p>
        </w:tc>
      </w:tr>
      <w:tr>
        <w:tc>
          <w:tcPr>
            <w:tcW w:type="dxa" w:w="1500"/>
            <w:tcMar>
              <w:top w:w="80" w:type="dxa"/>
              <w:start w:w="120" w:type="dxa"/>
              <w:bottom w:w="80" w:type="dxa"/>
              <w:end w:w="120" w:type="dxa"/>
            </w:tcMar>
            <w:vAlign w:val="center"/>
          </w:tcPr>
          <w:p>
            <w:r>
              <w:rPr>
                <w:rFonts w:ascii="Calibri" w:hAnsi="Calibri" w:eastAsia="Calibri"/>
                <w:color w:val="30343B"/>
                <w:sz w:val="17"/>
              </w:rPr>
              <w:t>Espèces</w:t>
            </w:r>
          </w:p>
        </w:tc>
        <w:tc>
          <w:tcPr>
            <w:tcW w:type="dxa" w:w="2900"/>
            <w:tcMar>
              <w:top w:w="80" w:type="dxa"/>
              <w:start w:w="120" w:type="dxa"/>
              <w:bottom w:w="80" w:type="dxa"/>
              <w:end w:w="120" w:type="dxa"/>
            </w:tcMar>
            <w:vAlign w:val="center"/>
          </w:tcPr>
          <w:p>
            <w:r>
              <w:rPr>
                <w:rFonts w:ascii="Calibri" w:hAnsi="Calibri" w:eastAsia="Calibri"/>
                <w:color w:val="30343B"/>
                <w:sz w:val="17"/>
              </w:rPr>
              <w:t>Montant reçu</w:t>
            </w:r>
          </w:p>
        </w:tc>
        <w:tc>
          <w:tcPr>
            <w:tcW w:type="dxa" w:w="4960"/>
            <w:tcMar>
              <w:top w:w="80" w:type="dxa"/>
              <w:start w:w="120" w:type="dxa"/>
              <w:bottom w:w="80" w:type="dxa"/>
              <w:end w:w="120" w:type="dxa"/>
            </w:tcMar>
            <w:vAlign w:val="center"/>
          </w:tcPr>
          <w:p>
            <w:r>
              <w:rPr>
                <w:rFonts w:ascii="Calibri" w:hAnsi="Calibri" w:eastAsia="Calibri"/>
                <w:color w:val="30343B"/>
                <w:sz w:val="17"/>
              </w:rPr>
              <w:t>Compte espèces de la caisse et rendu monnaie selon procédure</w:t>
            </w:r>
          </w:p>
        </w:tc>
      </w:tr>
      <w:tr>
        <w:tc>
          <w:tcPr>
            <w:tcW w:type="dxa" w:w="1500"/>
            <w:shd w:fill="F3F5F7"/>
            <w:tcMar>
              <w:top w:w="80" w:type="dxa"/>
              <w:start w:w="120" w:type="dxa"/>
              <w:bottom w:w="80" w:type="dxa"/>
              <w:end w:w="120" w:type="dxa"/>
            </w:tcMar>
            <w:vAlign w:val="center"/>
          </w:tcPr>
          <w:p>
            <w:r>
              <w:rPr>
                <w:rFonts w:ascii="Calibri" w:hAnsi="Calibri" w:eastAsia="Calibri"/>
                <w:color w:val="30343B"/>
                <w:sz w:val="17"/>
              </w:rPr>
              <w:t>Carte</w:t>
            </w:r>
          </w:p>
        </w:tc>
        <w:tc>
          <w:tcPr>
            <w:tcW w:type="dxa" w:w="2900"/>
            <w:shd w:fill="F3F5F7"/>
            <w:tcMar>
              <w:top w:w="80" w:type="dxa"/>
              <w:start w:w="120" w:type="dxa"/>
              <w:bottom w:w="80" w:type="dxa"/>
              <w:end w:w="120" w:type="dxa"/>
            </w:tcMar>
            <w:vAlign w:val="center"/>
          </w:tcPr>
          <w:p>
            <w:r>
              <w:rPr>
                <w:rFonts w:ascii="Calibri" w:hAnsi="Calibri" w:eastAsia="Calibri"/>
                <w:color w:val="30343B"/>
                <w:sz w:val="17"/>
              </w:rPr>
              <w:t>Montant et référence terminal</w:t>
            </w:r>
          </w:p>
        </w:tc>
        <w:tc>
          <w:tcPr>
            <w:tcW w:type="dxa" w:w="4960"/>
            <w:shd w:fill="F3F5F7"/>
            <w:tcMar>
              <w:top w:w="80" w:type="dxa"/>
              <w:start w:w="120" w:type="dxa"/>
              <w:bottom w:w="80" w:type="dxa"/>
              <w:end w:w="120" w:type="dxa"/>
            </w:tcMar>
            <w:vAlign w:val="center"/>
          </w:tcPr>
          <w:p>
            <w:r>
              <w:rPr>
                <w:rFonts w:ascii="Calibri" w:hAnsi="Calibri" w:eastAsia="Calibri"/>
                <w:color w:val="30343B"/>
                <w:sz w:val="17"/>
              </w:rPr>
              <w:t>Compte carte, ticket TPE et total journalier</w:t>
            </w:r>
          </w:p>
        </w:tc>
      </w:tr>
      <w:tr>
        <w:tc>
          <w:tcPr>
            <w:tcW w:type="dxa" w:w="1500"/>
            <w:tcMar>
              <w:top w:w="80" w:type="dxa"/>
              <w:start w:w="120" w:type="dxa"/>
              <w:bottom w:w="80" w:type="dxa"/>
              <w:end w:w="120" w:type="dxa"/>
            </w:tcMar>
            <w:vAlign w:val="center"/>
          </w:tcPr>
          <w:p>
            <w:r>
              <w:rPr>
                <w:rFonts w:ascii="Calibri" w:hAnsi="Calibri" w:eastAsia="Calibri"/>
                <w:color w:val="30343B"/>
                <w:sz w:val="17"/>
              </w:rPr>
              <w:t>Chèque</w:t>
            </w:r>
          </w:p>
        </w:tc>
        <w:tc>
          <w:tcPr>
            <w:tcW w:type="dxa" w:w="2900"/>
            <w:tcMar>
              <w:top w:w="80" w:type="dxa"/>
              <w:start w:w="120" w:type="dxa"/>
              <w:bottom w:w="80" w:type="dxa"/>
              <w:end w:w="120" w:type="dxa"/>
            </w:tcMar>
            <w:vAlign w:val="center"/>
          </w:tcPr>
          <w:p>
            <w:r>
              <w:rPr>
                <w:rFonts w:ascii="Calibri" w:hAnsi="Calibri" w:eastAsia="Calibri"/>
                <w:color w:val="30343B"/>
                <w:sz w:val="17"/>
              </w:rPr>
              <w:t>Montant et référence</w:t>
            </w:r>
          </w:p>
        </w:tc>
        <w:tc>
          <w:tcPr>
            <w:tcW w:type="dxa" w:w="4960"/>
            <w:tcMar>
              <w:top w:w="80" w:type="dxa"/>
              <w:start w:w="120" w:type="dxa"/>
              <w:bottom w:w="80" w:type="dxa"/>
              <w:end w:w="120" w:type="dxa"/>
            </w:tcMar>
            <w:vAlign w:val="center"/>
          </w:tcPr>
          <w:p>
            <w:r>
              <w:rPr>
                <w:rFonts w:ascii="Calibri" w:hAnsi="Calibri" w:eastAsia="Calibri"/>
                <w:color w:val="30343B"/>
                <w:sz w:val="17"/>
              </w:rPr>
              <w:t>Identité, conformité et compte chèque</w:t>
            </w:r>
          </w:p>
        </w:tc>
      </w:tr>
      <w:tr>
        <w:tc>
          <w:tcPr>
            <w:tcW w:type="dxa" w:w="1500"/>
            <w:shd w:fill="F3F5F7"/>
            <w:tcMar>
              <w:top w:w="80" w:type="dxa"/>
              <w:start w:w="120" w:type="dxa"/>
              <w:bottom w:w="80" w:type="dxa"/>
              <w:end w:w="120" w:type="dxa"/>
            </w:tcMar>
            <w:vAlign w:val="center"/>
          </w:tcPr>
          <w:p>
            <w:r>
              <w:rPr>
                <w:rFonts w:ascii="Calibri" w:hAnsi="Calibri" w:eastAsia="Calibri"/>
                <w:color w:val="30343B"/>
                <w:sz w:val="17"/>
              </w:rPr>
              <w:t>Mobile</w:t>
            </w:r>
          </w:p>
        </w:tc>
        <w:tc>
          <w:tcPr>
            <w:tcW w:type="dxa" w:w="2900"/>
            <w:shd w:fill="F3F5F7"/>
            <w:tcMar>
              <w:top w:w="80" w:type="dxa"/>
              <w:start w:w="120" w:type="dxa"/>
              <w:bottom w:w="80" w:type="dxa"/>
              <w:end w:w="120" w:type="dxa"/>
            </w:tcMar>
            <w:vAlign w:val="center"/>
          </w:tcPr>
          <w:p>
            <w:r>
              <w:rPr>
                <w:rFonts w:ascii="Calibri" w:hAnsi="Calibri" w:eastAsia="Calibri"/>
                <w:color w:val="30343B"/>
                <w:sz w:val="17"/>
              </w:rPr>
              <w:t>Montant et référence transaction</w:t>
            </w:r>
          </w:p>
        </w:tc>
        <w:tc>
          <w:tcPr>
            <w:tcW w:type="dxa" w:w="4960"/>
            <w:shd w:fill="F3F5F7"/>
            <w:tcMar>
              <w:top w:w="80" w:type="dxa"/>
              <w:start w:w="120" w:type="dxa"/>
              <w:bottom w:w="80" w:type="dxa"/>
              <w:end w:w="120" w:type="dxa"/>
            </w:tcMar>
            <w:vAlign w:val="center"/>
          </w:tcPr>
          <w:p>
            <w:r>
              <w:rPr>
                <w:rFonts w:ascii="Calibri" w:hAnsi="Calibri" w:eastAsia="Calibri"/>
                <w:color w:val="30343B"/>
                <w:sz w:val="17"/>
              </w:rPr>
              <w:t>Compte mobile et confirmation opérateur</w:t>
            </w:r>
          </w:p>
        </w:tc>
      </w:tr>
      <w:tr>
        <w:tc>
          <w:tcPr>
            <w:tcW w:type="dxa" w:w="1500"/>
            <w:tcMar>
              <w:top w:w="80" w:type="dxa"/>
              <w:start w:w="120" w:type="dxa"/>
              <w:bottom w:w="80" w:type="dxa"/>
              <w:end w:w="120" w:type="dxa"/>
            </w:tcMar>
            <w:vAlign w:val="center"/>
          </w:tcPr>
          <w:p>
            <w:r>
              <w:rPr>
                <w:rFonts w:ascii="Calibri" w:hAnsi="Calibri" w:eastAsia="Calibri"/>
                <w:color w:val="30343B"/>
                <w:sz w:val="17"/>
              </w:rPr>
              <w:t>Autre</w:t>
            </w:r>
          </w:p>
        </w:tc>
        <w:tc>
          <w:tcPr>
            <w:tcW w:type="dxa" w:w="2900"/>
            <w:tcMar>
              <w:top w:w="80" w:type="dxa"/>
              <w:start w:w="120" w:type="dxa"/>
              <w:bottom w:w="80" w:type="dxa"/>
              <w:end w:w="120" w:type="dxa"/>
            </w:tcMar>
            <w:vAlign w:val="center"/>
          </w:tcPr>
          <w:p>
            <w:r>
              <w:rPr>
                <w:rFonts w:ascii="Calibri" w:hAnsi="Calibri" w:eastAsia="Calibri"/>
                <w:color w:val="30343B"/>
                <w:sz w:val="17"/>
              </w:rPr>
              <w:t>Mode prévu et preuve</w:t>
            </w:r>
          </w:p>
        </w:tc>
        <w:tc>
          <w:tcPr>
            <w:tcW w:type="dxa" w:w="4960"/>
            <w:tcMar>
              <w:top w:w="80" w:type="dxa"/>
              <w:start w:w="120" w:type="dxa"/>
              <w:bottom w:w="80" w:type="dxa"/>
              <w:end w:w="120" w:type="dxa"/>
            </w:tcMar>
            <w:vAlign w:val="center"/>
          </w:tcPr>
          <w:p>
            <w:r>
              <w:rPr>
                <w:rFonts w:ascii="Calibri" w:hAnsi="Calibri" w:eastAsia="Calibri"/>
                <w:color w:val="30343B"/>
                <w:sz w:val="17"/>
              </w:rPr>
              <w:t>Compte associé et politique interne</w:t>
            </w:r>
          </w:p>
        </w:tc>
      </w:tr>
      <w:tr>
        <w:tc>
          <w:tcPr>
            <w:tcW w:type="dxa" w:w="1500"/>
            <w:shd w:fill="F3F5F7"/>
            <w:tcMar>
              <w:top w:w="80" w:type="dxa"/>
              <w:start w:w="120" w:type="dxa"/>
              <w:bottom w:w="80" w:type="dxa"/>
              <w:end w:w="120" w:type="dxa"/>
            </w:tcMar>
            <w:vAlign w:val="center"/>
          </w:tcPr>
          <w:p>
            <w:r>
              <w:rPr>
                <w:rFonts w:ascii="Calibri" w:hAnsi="Calibri" w:eastAsia="Calibri"/>
                <w:color w:val="30343B"/>
                <w:sz w:val="17"/>
              </w:rPr>
              <w:t>Différé</w:t>
            </w:r>
          </w:p>
        </w:tc>
        <w:tc>
          <w:tcPr>
            <w:tcW w:type="dxa" w:w="2900"/>
            <w:shd w:fill="F3F5F7"/>
            <w:tcMar>
              <w:top w:w="80" w:type="dxa"/>
              <w:start w:w="120" w:type="dxa"/>
              <w:bottom w:w="80" w:type="dxa"/>
              <w:end w:w="120" w:type="dxa"/>
            </w:tcMar>
            <w:vAlign w:val="center"/>
          </w:tcPr>
          <w:p>
            <w:r>
              <w:rPr>
                <w:rFonts w:ascii="Calibri" w:hAnsi="Calibri" w:eastAsia="Calibri"/>
                <w:color w:val="30343B"/>
                <w:sz w:val="17"/>
              </w:rPr>
              <w:t>Montant, échéance et justificatif</w:t>
            </w:r>
          </w:p>
        </w:tc>
        <w:tc>
          <w:tcPr>
            <w:tcW w:type="dxa" w:w="4960"/>
            <w:shd w:fill="F3F5F7"/>
            <w:tcMar>
              <w:top w:w="80" w:type="dxa"/>
              <w:start w:w="120" w:type="dxa"/>
              <w:bottom w:w="80" w:type="dxa"/>
              <w:end w:w="120" w:type="dxa"/>
            </w:tcMar>
            <w:vAlign w:val="center"/>
          </w:tcPr>
          <w:p>
            <w:r>
              <w:rPr>
                <w:rFonts w:ascii="Calibri" w:hAnsi="Calibri" w:eastAsia="Calibri"/>
                <w:color w:val="30343B"/>
                <w:sz w:val="17"/>
              </w:rPr>
              <w:t>Profil crédit, workflow et suivi de créance</w:t>
            </w:r>
          </w:p>
        </w:tc>
      </w:tr>
    </w:tbl>
    <w:p>
      <w:pPr>
        <w:spacing w:after="0"/>
      </w:pPr>
    </w:p>
    <w:tbl>
      <w:tblPr>
        <w:tblW w:type="dxa" w:w="9360"/>
        <w:jc w:val="left"/>
        <w:tblLayout w:type="fixed"/>
        <w:tblLook w:firstColumn="1" w:firstRow="1" w:lastColumn="0" w:lastRow="0" w:noHBand="0" w:noVBand="1" w:val="04A0"/>
        <w:tblInd w:w="0" w:type="dxa"/>
      </w:tblPr>
      <w:tblGrid>
        <w:gridCol w:w="180"/>
        <w:gridCol w:w="9180"/>
      </w:tblGrid>
      <w:tr>
        <w:tc>
          <w:tcPr>
            <w:tcW w:type="dxa" w:w="180"/>
            <w:tcMar>
              <w:top w:w="80" w:type="dxa"/>
              <w:start w:w="0" w:type="dxa"/>
              <w:bottom w:w="80" w:type="dxa"/>
              <w:end w:w="0" w:type="dxa"/>
            </w:tcMar>
            <w:vAlign w:val="center"/>
            <w:shd w:fill="20A4C2"/>
          </w:tcPr>
          <w:p/>
        </w:tc>
        <w:tc>
          <w:tcPr>
            <w:tcW w:type="dxa" w:w="9180"/>
            <w:tcMar>
              <w:top w:w="120" w:type="dxa"/>
              <w:start w:w="160" w:type="dxa"/>
              <w:bottom w:w="120" w:type="dxa"/>
              <w:end w:w="160" w:type="dxa"/>
            </w:tcMar>
            <w:vAlign w:val="center"/>
            <w:shd w:fill="EAF7FA"/>
          </w:tcPr>
          <w:p>
            <w:r>
              <w:rPr>
                <w:rFonts w:ascii="Calibri" w:hAnsi="Calibri" w:eastAsia="Calibri"/>
                <w:b/>
                <w:color w:val="283244"/>
              </w:rPr>
              <w:t>Paiement mixte</w:t>
              <w:br/>
            </w:r>
            <w:r>
              <w:rPr>
                <w:rFonts w:ascii="Calibri" w:hAnsi="Calibri" w:eastAsia="Calibri"/>
                <w:color w:val="30343B"/>
                <w:sz w:val="21"/>
              </w:rPr>
              <w:t>La somme des composantes doit correspondre au montant encaissé. Chaque composante immédiate devient un paiement natif distinct ; la composante différée reste suivie comme créance.</w:t>
            </w:r>
          </w:p>
        </w:tc>
      </w:tr>
    </w:tbl>
    <w:p>
      <w:pPr>
        <w:spacing w:after="0"/>
      </w:pPr>
    </w:p>
    <w:p>
      <w:r>
        <w:br w:type="page"/>
      </w:r>
    </w:p>
    <w:p>
      <w:pPr>
        <w:pStyle w:val="Heading1"/>
      </w:pPr>
      <w:r>
        <w:t>5. Acompte client, différé et pièces d’autorisation</w:t>
      </w:r>
    </w:p>
    <w:p>
      <w:pPr>
        <w:spacing w:after="200"/>
      </w:pPr>
      <w:r>
        <w:rPr>
          <w:rFonts w:ascii="Calibri" w:hAnsi="Calibri" w:eastAsia="Calibri"/>
          <w:color w:val="283244"/>
          <w:sz w:val="23"/>
        </w:rPr>
        <w:t>Ces parcours encadrent les ventes qui ne sont pas intégralement réglées immédiatement.</w:t>
      </w:r>
    </w:p>
    <w:p>
      <w:pPr>
        <w:pStyle w:val="Heading2"/>
      </w:pPr>
      <w:r>
        <w:t>Enregistrer un acompte client</w:t>
      </w:r>
    </w:p>
    <w:p>
      <w:pPr>
        <w:spacing w:after="80" w:line="300" w:lineRule="auto"/>
        <w:ind w:left="540" w:hanging="271"/>
        <w:numPr>
          <w:ilvl w:val="0"/>
          <w:numId w:val="12"/>
        </w:numPr>
      </w:pPr>
      <w:r>
        <w:t>Ouvrir Enregistrer un acompte client.</w:t>
      </w:r>
    </w:p>
    <w:p>
      <w:pPr>
        <w:spacing w:after="80" w:line="300" w:lineRule="auto"/>
        <w:ind w:left="540" w:hanging="271"/>
        <w:numPr>
          <w:ilvl w:val="0"/>
          <w:numId w:val="12"/>
        </w:numPr>
      </w:pPr>
      <w:r>
        <w:t>Sélectionner le client, saisir le montant, le libellé et le mode de paiement.</w:t>
      </w:r>
    </w:p>
    <w:p>
      <w:pPr>
        <w:spacing w:after="80" w:line="300" w:lineRule="auto"/>
        <w:ind w:left="540" w:hanging="271"/>
        <w:numPr>
          <w:ilvl w:val="0"/>
          <w:numId w:val="12"/>
        </w:numPr>
      </w:pPr>
      <w:r>
        <w:t>Vérifier le contexte agence/caisse/session, puis confirmer.</w:t>
      </w:r>
    </w:p>
    <w:p>
      <w:pPr>
        <w:spacing w:after="80" w:line="300" w:lineRule="auto"/>
        <w:ind w:left="540" w:hanging="271"/>
        <w:numPr>
          <w:ilvl w:val="0"/>
          <w:numId w:val="12"/>
        </w:numPr>
      </w:pPr>
      <w:r>
        <w:t>Noter la référence de la facture d’acompte Dolibarr créée et remettre le justificatif au client.</w:t>
      </w:r>
    </w:p>
    <w:p>
      <w:pPr>
        <w:pStyle w:val="Heading2"/>
      </w:pPr>
      <w:r>
        <w:t>Créer un paiement différé</w:t>
      </w:r>
    </w:p>
    <w:p>
      <w:pPr>
        <w:spacing w:after="80" w:line="300" w:lineRule="auto"/>
        <w:ind w:left="540" w:hanging="271"/>
        <w:numPr>
          <w:ilvl w:val="0"/>
          <w:numId w:val="13"/>
        </w:numPr>
      </w:pPr>
      <w:r>
        <w:t>Sélectionner le client et la facture concernés.</w:t>
      </w:r>
    </w:p>
    <w:p>
      <w:pPr>
        <w:spacing w:after="80" w:line="300" w:lineRule="auto"/>
        <w:ind w:left="540" w:hanging="271"/>
        <w:numPr>
          <w:ilvl w:val="0"/>
          <w:numId w:val="13"/>
        </w:numPr>
      </w:pPr>
      <w:r>
        <w:t>Saisir le montant différé, la date d’échéance, le motif et les documents exigés.</w:t>
      </w:r>
    </w:p>
    <w:p>
      <w:pPr>
        <w:spacing w:after="80" w:line="300" w:lineRule="auto"/>
        <w:ind w:left="540" w:hanging="271"/>
        <w:numPr>
          <w:ilvl w:val="0"/>
          <w:numId w:val="13"/>
        </w:numPr>
      </w:pPr>
      <w:r>
        <w:t>Rattacher, selon la situation, un bon de commande client (BC), un Bon Spécial de Transport (BST) ou une instruction managériale.</w:t>
      </w:r>
    </w:p>
    <w:p>
      <w:pPr>
        <w:spacing w:after="80" w:line="300" w:lineRule="auto"/>
        <w:ind w:left="540" w:hanging="271"/>
        <w:numPr>
          <w:ilvl w:val="0"/>
          <w:numId w:val="13"/>
        </w:numPr>
      </w:pPr>
      <w:r>
        <w:t>Soumettre à validation et suivre la décision dans Mes validations en attente.</w:t>
      </w:r>
    </w:p>
    <w:p>
      <w:pPr>
        <w:spacing w:after="80" w:line="300" w:lineRule="auto"/>
        <w:ind w:left="540" w:hanging="271"/>
        <w:numPr>
          <w:ilvl w:val="0"/>
          <w:numId w:val="13"/>
        </w:numPr>
      </w:pPr>
      <w:r>
        <w:t>Surveiller ensuite la créance jusqu’au règlement complet ou à la résolution autorisée.</w:t>
      </w:r>
    </w:p>
    <w:tbl>
      <w:tblPr>
        <w:tblW w:type="dxa" w:w="9360"/>
        <w:tblLayout w:type="fixed"/>
        <w:tblLook w:firstColumn="1" w:firstRow="1" w:lastColumn="0" w:lastRow="0" w:noHBand="0" w:noVBand="1" w:val="04A0"/>
        <w:jc w:val="left"/>
        <w:tblInd w:w="0" w:type="dxa"/>
      </w:tblPr>
      <w:tblGrid>
        <w:gridCol w:w="1800"/>
        <w:gridCol w:w="3300"/>
        <w:gridCol w:w="4260"/>
      </w:tblGrid>
      <w:tr>
        <w:trPr>
          <w:tblHeader w:val="true"/>
        </w:trPr>
        <w:tc>
          <w:tcPr>
            <w:tcW w:type="dxa" w:w="1800"/>
            <w:tcMar>
              <w:top w:w="80" w:type="dxa"/>
              <w:start w:w="120" w:type="dxa"/>
              <w:bottom w:w="80" w:type="dxa"/>
              <w:end w:w="120" w:type="dxa"/>
            </w:tcMar>
            <w:vAlign w:val="center"/>
            <w:shd w:fill="1971AC"/>
          </w:tcPr>
          <w:p>
            <w:r>
              <w:rPr>
                <w:rFonts w:ascii="Calibri" w:hAnsi="Calibri" w:eastAsia="Calibri"/>
                <w:b/>
                <w:color w:val="FFFFFF"/>
                <w:sz w:val="18"/>
              </w:rPr>
              <w:t>Pièce</w:t>
            </w:r>
          </w:p>
        </w:tc>
        <w:tc>
          <w:tcPr>
            <w:tcW w:type="dxa" w:w="3300"/>
            <w:tcMar>
              <w:top w:w="80" w:type="dxa"/>
              <w:start w:w="120" w:type="dxa"/>
              <w:bottom w:w="80" w:type="dxa"/>
              <w:end w:w="120" w:type="dxa"/>
            </w:tcMar>
            <w:vAlign w:val="center"/>
            <w:shd w:fill="1971AC"/>
          </w:tcPr>
          <w:p>
            <w:r>
              <w:rPr>
                <w:rFonts w:ascii="Calibri" w:hAnsi="Calibri" w:eastAsia="Calibri"/>
                <w:b/>
                <w:color w:val="FFFFFF"/>
                <w:sz w:val="18"/>
              </w:rPr>
              <w:t>Quand l’utiliser</w:t>
            </w:r>
          </w:p>
        </w:tc>
        <w:tc>
          <w:tcPr>
            <w:tcW w:type="dxa" w:w="4260"/>
            <w:tcMar>
              <w:top w:w="80" w:type="dxa"/>
              <w:start w:w="120" w:type="dxa"/>
              <w:bottom w:w="80" w:type="dxa"/>
              <w:end w:w="120" w:type="dxa"/>
            </w:tcMar>
            <w:vAlign w:val="center"/>
            <w:shd w:fill="1971AC"/>
          </w:tcPr>
          <w:p>
            <w:r>
              <w:rPr>
                <w:rFonts w:ascii="Calibri" w:hAnsi="Calibri" w:eastAsia="Calibri"/>
                <w:b/>
                <w:color w:val="FFFFFF"/>
                <w:sz w:val="18"/>
              </w:rPr>
              <w:t>Points de contrôle</w:t>
            </w:r>
          </w:p>
        </w:tc>
      </w:tr>
      <w:tr>
        <w:tc>
          <w:tcPr>
            <w:tcW w:type="dxa" w:w="1800"/>
            <w:tcMar>
              <w:top w:w="80" w:type="dxa"/>
              <w:start w:w="120" w:type="dxa"/>
              <w:bottom w:w="80" w:type="dxa"/>
              <w:end w:w="120" w:type="dxa"/>
            </w:tcMar>
            <w:vAlign w:val="center"/>
          </w:tcPr>
          <w:p>
            <w:r>
              <w:rPr>
                <w:rFonts w:ascii="Calibri" w:hAnsi="Calibri" w:eastAsia="Calibri"/>
                <w:color w:val="30343B"/>
                <w:sz w:val="17"/>
              </w:rPr>
              <w:t>BC client</w:t>
            </w:r>
          </w:p>
        </w:tc>
        <w:tc>
          <w:tcPr>
            <w:tcW w:type="dxa" w:w="3300"/>
            <w:tcMar>
              <w:top w:w="80" w:type="dxa"/>
              <w:start w:w="120" w:type="dxa"/>
              <w:bottom w:w="80" w:type="dxa"/>
              <w:end w:w="120" w:type="dxa"/>
            </w:tcMar>
            <w:vAlign w:val="center"/>
          </w:tcPr>
          <w:p>
            <w:r>
              <w:rPr>
                <w:rFonts w:ascii="Calibri" w:hAnsi="Calibri" w:eastAsia="Calibri"/>
                <w:color w:val="30343B"/>
                <w:sz w:val="17"/>
              </w:rPr>
              <w:t>Commande ou engagement d’un client autorisé</w:t>
            </w:r>
          </w:p>
        </w:tc>
        <w:tc>
          <w:tcPr>
            <w:tcW w:type="dxa" w:w="4260"/>
            <w:tcMar>
              <w:top w:w="80" w:type="dxa"/>
              <w:start w:w="120" w:type="dxa"/>
              <w:bottom w:w="80" w:type="dxa"/>
              <w:end w:w="120" w:type="dxa"/>
            </w:tcMar>
            <w:vAlign w:val="center"/>
          </w:tcPr>
          <w:p>
            <w:r>
              <w:rPr>
                <w:rFonts w:ascii="Calibri" w:hAnsi="Calibri" w:eastAsia="Calibri"/>
                <w:color w:val="30343B"/>
                <w:sz w:val="17"/>
              </w:rPr>
              <w:t>Référence, montant, client, dates et approbation</w:t>
            </w:r>
          </w:p>
        </w:tc>
      </w:tr>
      <w:tr>
        <w:tc>
          <w:tcPr>
            <w:tcW w:type="dxa" w:w="1800"/>
            <w:shd w:fill="F3F5F7"/>
            <w:tcMar>
              <w:top w:w="80" w:type="dxa"/>
              <w:start w:w="120" w:type="dxa"/>
              <w:bottom w:w="80" w:type="dxa"/>
              <w:end w:w="120" w:type="dxa"/>
            </w:tcMar>
            <w:vAlign w:val="center"/>
          </w:tcPr>
          <w:p>
            <w:r>
              <w:rPr>
                <w:rFonts w:ascii="Calibri" w:hAnsi="Calibri" w:eastAsia="Calibri"/>
                <w:color w:val="30343B"/>
                <w:sz w:val="17"/>
              </w:rPr>
              <w:t>BST</w:t>
            </w:r>
          </w:p>
        </w:tc>
        <w:tc>
          <w:tcPr>
            <w:tcW w:type="dxa" w:w="3300"/>
            <w:shd w:fill="F3F5F7"/>
            <w:tcMar>
              <w:top w:w="80" w:type="dxa"/>
              <w:start w:w="120" w:type="dxa"/>
              <w:bottom w:w="80" w:type="dxa"/>
              <w:end w:w="120" w:type="dxa"/>
            </w:tcMar>
            <w:vAlign w:val="center"/>
          </w:tcPr>
          <w:p>
            <w:r>
              <w:rPr>
                <w:rFonts w:ascii="Calibri" w:hAnsi="Calibri" w:eastAsia="Calibri"/>
                <w:color w:val="30343B"/>
                <w:sz w:val="17"/>
              </w:rPr>
              <w:t>Transport ou opération spéciale prévue par l’organisation</w:t>
            </w:r>
          </w:p>
        </w:tc>
        <w:tc>
          <w:tcPr>
            <w:tcW w:type="dxa" w:w="4260"/>
            <w:shd w:fill="F3F5F7"/>
            <w:tcMar>
              <w:top w:w="80" w:type="dxa"/>
              <w:start w:w="120" w:type="dxa"/>
              <w:bottom w:w="80" w:type="dxa"/>
              <w:end w:w="120" w:type="dxa"/>
            </w:tcMar>
            <w:vAlign w:val="center"/>
          </w:tcPr>
          <w:p>
            <w:r>
              <w:rPr>
                <w:rFonts w:ascii="Calibri" w:hAnsi="Calibri" w:eastAsia="Calibri"/>
                <w:color w:val="30343B"/>
                <w:sz w:val="17"/>
              </w:rPr>
              <w:t>Bénéficiaire, trajet/opération, montant et justificatifs</w:t>
            </w:r>
          </w:p>
        </w:tc>
      </w:tr>
      <w:tr>
        <w:tc>
          <w:tcPr>
            <w:tcW w:type="dxa" w:w="1800"/>
            <w:tcMar>
              <w:top w:w="80" w:type="dxa"/>
              <w:start w:w="120" w:type="dxa"/>
              <w:bottom w:w="80" w:type="dxa"/>
              <w:end w:w="120" w:type="dxa"/>
            </w:tcMar>
            <w:vAlign w:val="center"/>
          </w:tcPr>
          <w:p>
            <w:r>
              <w:rPr>
                <w:rFonts w:ascii="Calibri" w:hAnsi="Calibri" w:eastAsia="Calibri"/>
                <w:color w:val="30343B"/>
                <w:sz w:val="17"/>
              </w:rPr>
              <w:t>Instruction managériale</w:t>
            </w:r>
          </w:p>
        </w:tc>
        <w:tc>
          <w:tcPr>
            <w:tcW w:type="dxa" w:w="3300"/>
            <w:tcMar>
              <w:top w:w="80" w:type="dxa"/>
              <w:start w:w="120" w:type="dxa"/>
              <w:bottom w:w="80" w:type="dxa"/>
              <w:end w:w="120" w:type="dxa"/>
            </w:tcMar>
            <w:vAlign w:val="center"/>
          </w:tcPr>
          <w:p>
            <w:r>
              <w:rPr>
                <w:rFonts w:ascii="Calibri" w:hAnsi="Calibri" w:eastAsia="Calibri"/>
                <w:color w:val="30343B"/>
                <w:sz w:val="17"/>
              </w:rPr>
              <w:t>Dérogation explicitement décidée par un responsable</w:t>
            </w:r>
          </w:p>
        </w:tc>
        <w:tc>
          <w:tcPr>
            <w:tcW w:type="dxa" w:w="4260"/>
            <w:tcMar>
              <w:top w:w="80" w:type="dxa"/>
              <w:start w:w="120" w:type="dxa"/>
              <w:bottom w:w="80" w:type="dxa"/>
              <w:end w:w="120" w:type="dxa"/>
            </w:tcMar>
            <w:vAlign w:val="center"/>
          </w:tcPr>
          <w:p>
            <w:r>
              <w:rPr>
                <w:rFonts w:ascii="Calibri" w:hAnsi="Calibri" w:eastAsia="Calibri"/>
                <w:color w:val="30343B"/>
                <w:sz w:val="17"/>
              </w:rPr>
              <w:t>Auteur, portée, durée, motif et validation</w:t>
            </w:r>
          </w:p>
        </w:tc>
      </w:tr>
    </w:tbl>
    <w:p>
      <w:pPr>
        <w:spacing w:after="0"/>
      </w:pPr>
    </w:p>
    <w:p>
      <w:r>
        <w:br w:type="page"/>
      </w:r>
    </w:p>
    <w:p>
      <w:pPr>
        <w:pStyle w:val="Heading1"/>
      </w:pPr>
      <w:r>
        <w:t>6. Avoirs et remboursements</w:t>
      </w:r>
    </w:p>
    <w:p>
      <w:pPr>
        <w:spacing w:after="200"/>
      </w:pPr>
      <w:r>
        <w:rPr>
          <w:rFonts w:ascii="Calibri" w:hAnsi="Calibri" w:eastAsia="Calibri"/>
          <w:color w:val="283244"/>
          <w:sz w:val="23"/>
        </w:rPr>
        <w:t>Un avoir corrige ou crédite le compte client ; un remboursement provoque une sortie de fonds. Les deux ne sont pas interchangeables.</w:t>
      </w:r>
    </w:p>
    <w:p>
      <w:pPr>
        <w:pStyle w:val="Heading2"/>
      </w:pPr>
      <w:r>
        <w:t>Demander un remboursement</w:t>
      </w:r>
    </w:p>
    <w:p>
      <w:pPr>
        <w:spacing w:after="80" w:line="300" w:lineRule="auto"/>
        <w:ind w:left="540" w:hanging="271"/>
        <w:numPr>
          <w:ilvl w:val="0"/>
          <w:numId w:val="14"/>
        </w:numPr>
      </w:pPr>
      <w:r>
        <w:t>Ouvrir Demander un remboursement et sélectionner la facture d’origine.</w:t>
      </w:r>
    </w:p>
    <w:p>
      <w:pPr>
        <w:spacing w:after="80" w:line="300" w:lineRule="auto"/>
        <w:ind w:left="540" w:hanging="271"/>
        <w:numPr>
          <w:ilvl w:val="0"/>
          <w:numId w:val="14"/>
        </w:numPr>
      </w:pPr>
      <w:r>
        <w:t>Saisir le montant, le motif, le mode de remboursement et les justificatifs.</w:t>
      </w:r>
    </w:p>
    <w:p>
      <w:pPr>
        <w:spacing w:after="80" w:line="300" w:lineRule="auto"/>
        <w:ind w:left="540" w:hanging="271"/>
        <w:numPr>
          <w:ilvl w:val="0"/>
          <w:numId w:val="14"/>
        </w:numPr>
      </w:pPr>
      <w:r>
        <w:t>Vérifier que le cumul demandé n’excède pas le montant remboursable.</w:t>
      </w:r>
    </w:p>
    <w:p>
      <w:pPr>
        <w:spacing w:after="80" w:line="300" w:lineRule="auto"/>
        <w:ind w:left="540" w:hanging="271"/>
        <w:numPr>
          <w:ilvl w:val="0"/>
          <w:numId w:val="14"/>
        </w:numPr>
      </w:pPr>
      <w:r>
        <w:t>Soumettre au workflow ; le demandeur ne doit pas s’auto-approuver.</w:t>
      </w:r>
    </w:p>
    <w:p>
      <w:pPr>
        <w:spacing w:after="80" w:line="300" w:lineRule="auto"/>
        <w:ind w:left="540" w:hanging="271"/>
        <w:numPr>
          <w:ilvl w:val="0"/>
          <w:numId w:val="14"/>
        </w:numPr>
      </w:pPr>
      <w:r>
        <w:t>Après validation, l’utilisateur habilité exécute le remboursement. Le module crée les objets financiers attendus et journalise l’opération.</w:t>
      </w:r>
    </w:p>
    <w:p>
      <w:pPr>
        <w:pStyle w:val="Heading2"/>
      </w:pPr>
      <w:r>
        <w:t>Utiliser un avoir</w:t>
      </w:r>
    </w:p>
    <w:p>
      <w:pPr>
        <w:pStyle w:val="ListBullet"/>
      </w:pPr>
      <w:r>
        <w:t>Choisir un avoir Dolibarr valide et disponible pour le client concerné.</w:t>
      </w:r>
    </w:p>
    <w:p>
      <w:pPr>
        <w:pStyle w:val="ListBullet"/>
      </w:pPr>
      <w:r>
        <w:t>Contrôler le montant restant avant utilisation.</w:t>
      </w:r>
    </w:p>
    <w:p>
      <w:pPr>
        <w:pStyle w:val="ListBullet"/>
      </w:pPr>
      <w:r>
        <w:t>Tracer l’affectation ; ne jamais créer une sortie de caisse pour un simple avoir non remboursé.</w:t>
      </w:r>
    </w:p>
    <w:tbl>
      <w:tblPr>
        <w:tblW w:type="dxa" w:w="9360"/>
        <w:jc w:val="left"/>
        <w:tblLayout w:type="fixed"/>
        <w:tblLook w:firstColumn="1" w:firstRow="1" w:lastColumn="0" w:lastRow="0" w:noHBand="0" w:noVBand="1" w:val="04A0"/>
        <w:tblInd w:w="0" w:type="dxa"/>
      </w:tblPr>
      <w:tblGrid>
        <w:gridCol w:w="180"/>
        <w:gridCol w:w="9180"/>
      </w:tblGrid>
      <w:tr>
        <w:tc>
          <w:tcPr>
            <w:tcW w:type="dxa" w:w="180"/>
            <w:tcMar>
              <w:top w:w="80" w:type="dxa"/>
              <w:start w:w="0" w:type="dxa"/>
              <w:bottom w:w="80" w:type="dxa"/>
              <w:end w:w="0" w:type="dxa"/>
            </w:tcMar>
            <w:vAlign w:val="center"/>
            <w:shd w:fill="B42318"/>
          </w:tcPr>
          <w:p/>
        </w:tc>
        <w:tc>
          <w:tcPr>
            <w:tcW w:type="dxa" w:w="9180"/>
            <w:tcMar>
              <w:top w:w="120" w:type="dxa"/>
              <w:start w:w="160" w:type="dxa"/>
              <w:bottom w:w="120" w:type="dxa"/>
              <w:end w:w="160" w:type="dxa"/>
            </w:tcMar>
            <w:vAlign w:val="center"/>
            <w:shd w:fill="FDECEC"/>
          </w:tcPr>
          <w:p>
            <w:r>
              <w:rPr>
                <w:rFonts w:ascii="Calibri" w:hAnsi="Calibri" w:eastAsia="Calibri"/>
                <w:b/>
                <w:color w:val="283244"/>
              </w:rPr>
              <w:t>Interdiction</w:t>
              <w:br/>
            </w:r>
            <w:r>
              <w:rPr>
                <w:rFonts w:ascii="Calibri" w:hAnsi="Calibri" w:eastAsia="Calibri"/>
                <w:color w:val="30343B"/>
                <w:sz w:val="21"/>
              </w:rPr>
              <w:t>Ne remboursez jamais par un mouvement libre destiné à masquer l’origine. Utilisez le workflow de remboursement, qui contrôle l’éligibilité, le cumul et la séparation des tâches.</w:t>
            </w:r>
          </w:p>
        </w:tc>
      </w:tr>
    </w:tbl>
    <w:p>
      <w:pPr>
        <w:spacing w:after="0"/>
      </w:pPr>
    </w:p>
    <w:p>
      <w:r>
        <w:br w:type="page"/>
      </w:r>
    </w:p>
    <w:p>
      <w:pPr>
        <w:pStyle w:val="Heading1"/>
      </w:pPr>
      <w:r>
        <w:t>7. Compter, clôturer et traiter un écart</w:t>
      </w:r>
    </w:p>
    <w:p>
      <w:pPr>
        <w:spacing w:after="200"/>
      </w:pPr>
      <w:r>
        <w:rPr>
          <w:rFonts w:ascii="Calibri" w:hAnsi="Calibri" w:eastAsia="Calibri"/>
          <w:color w:val="283244"/>
          <w:sz w:val="23"/>
        </w:rPr>
        <w:t>La clôture doit refléter la situation physique réelle, même lorsqu’elle révèle une anomalie.</w:t>
      </w:r>
    </w:p>
    <w:p>
      <w:pPr>
        <w:spacing w:after="80" w:line="300" w:lineRule="auto"/>
        <w:ind w:left="540" w:hanging="271"/>
        <w:numPr>
          <w:ilvl w:val="0"/>
          <w:numId w:val="15"/>
        </w:numPr>
      </w:pPr>
      <w:r>
        <w:t>Cesser les encaissements et vérifier qu’aucune opération n’est en cours.</w:t>
      </w:r>
    </w:p>
    <w:p>
      <w:pPr>
        <w:spacing w:after="80" w:line="300" w:lineRule="auto"/>
        <w:ind w:left="540" w:hanging="271"/>
        <w:numPr>
          <w:ilvl w:val="0"/>
          <w:numId w:val="15"/>
        </w:numPr>
      </w:pPr>
      <w:r>
        <w:t>Saisir les quantités de chaque coupure ; le total espèces est calculé à partir du comptage.</w:t>
      </w:r>
    </w:p>
    <w:p>
      <w:pPr>
        <w:spacing w:after="80" w:line="300" w:lineRule="auto"/>
        <w:ind w:left="540" w:hanging="271"/>
        <w:numPr>
          <w:ilvl w:val="0"/>
          <w:numId w:val="15"/>
        </w:numPr>
      </w:pPr>
      <w:r>
        <w:t>Renseigner les totaux carte, chèque, mobile et autres selon les preuves disponibles.</w:t>
      </w:r>
    </w:p>
    <w:p>
      <w:pPr>
        <w:spacing w:after="80" w:line="300" w:lineRule="auto"/>
        <w:ind w:left="540" w:hanging="271"/>
        <w:numPr>
          <w:ilvl w:val="0"/>
          <w:numId w:val="15"/>
        </w:numPr>
      </w:pPr>
      <w:r>
        <w:t>Comparer le montant physique au montant théorique de la session.</w:t>
      </w:r>
    </w:p>
    <w:p>
      <w:pPr>
        <w:spacing w:after="80" w:line="300" w:lineRule="auto"/>
        <w:ind w:left="540" w:hanging="271"/>
        <w:numPr>
          <w:ilvl w:val="0"/>
          <w:numId w:val="15"/>
        </w:numPr>
      </w:pPr>
      <w:r>
        <w:t>Recompter une fois en cas d’écart ; si l’écart persiste, renseigner une explication précise et joindre les éléments disponibles.</w:t>
      </w:r>
    </w:p>
    <w:p>
      <w:pPr>
        <w:spacing w:after="80" w:line="300" w:lineRule="auto"/>
        <w:ind w:left="540" w:hanging="271"/>
        <w:numPr>
          <w:ilvl w:val="0"/>
          <w:numId w:val="15"/>
        </w:numPr>
      </w:pPr>
      <w:r>
        <w:t>Soumettre la clôture. Les étapes de validation sont créées selon le workflow et les seuils.</w:t>
      </w:r>
    </w:p>
    <w:p>
      <w:pPr>
        <w:spacing w:after="80" w:line="300" w:lineRule="auto"/>
        <w:ind w:left="540" w:hanging="271"/>
        <w:numPr>
          <w:ilvl w:val="0"/>
          <w:numId w:val="15"/>
        </w:numPr>
      </w:pPr>
      <w:r>
        <w:t>Suivre la décision jusqu’au statut final ; une clôture refusée doit être corrigée ou réexaminée conformément au motif.</w:t>
      </w:r>
    </w:p>
    <w:tbl>
      <w:tblPr>
        <w:tblW w:type="dxa" w:w="9360"/>
        <w:tblLayout w:type="fixed"/>
        <w:tblLook w:firstColumn="1" w:firstRow="1" w:lastColumn="0" w:lastRow="0" w:noHBand="0" w:noVBand="1" w:val="04A0"/>
        <w:jc w:val="left"/>
        <w:tblInd w:w="0" w:type="dxa"/>
      </w:tblPr>
      <w:tblGrid>
        <w:gridCol w:w="1600"/>
        <w:gridCol w:w="4220"/>
        <w:gridCol w:w="3540"/>
      </w:tblGrid>
      <w:tr>
        <w:trPr>
          <w:tblHeader w:val="true"/>
        </w:trPr>
        <w:tc>
          <w:tcPr>
            <w:tcW w:type="dxa" w:w="1600"/>
            <w:tcMar>
              <w:top w:w="80" w:type="dxa"/>
              <w:start w:w="120" w:type="dxa"/>
              <w:bottom w:w="80" w:type="dxa"/>
              <w:end w:w="120" w:type="dxa"/>
            </w:tcMar>
            <w:vAlign w:val="center"/>
            <w:shd w:fill="1971AC"/>
          </w:tcPr>
          <w:p>
            <w:r>
              <w:rPr>
                <w:rFonts w:ascii="Calibri" w:hAnsi="Calibri" w:eastAsia="Calibri"/>
                <w:b/>
                <w:color w:val="FFFFFF"/>
                <w:sz w:val="19"/>
              </w:rPr>
              <w:t>Écart</w:t>
            </w:r>
          </w:p>
        </w:tc>
        <w:tc>
          <w:tcPr>
            <w:tcW w:type="dxa" w:w="4220"/>
            <w:tcMar>
              <w:top w:w="80" w:type="dxa"/>
              <w:start w:w="120" w:type="dxa"/>
              <w:bottom w:w="80" w:type="dxa"/>
              <w:end w:w="120" w:type="dxa"/>
            </w:tcMar>
            <w:vAlign w:val="center"/>
            <w:shd w:fill="1971AC"/>
          </w:tcPr>
          <w:p>
            <w:r>
              <w:rPr>
                <w:rFonts w:ascii="Calibri" w:hAnsi="Calibri" w:eastAsia="Calibri"/>
                <w:b/>
                <w:color w:val="FFFFFF"/>
                <w:sz w:val="19"/>
              </w:rPr>
              <w:t>Bonne pratique</w:t>
            </w:r>
          </w:p>
        </w:tc>
        <w:tc>
          <w:tcPr>
            <w:tcW w:type="dxa" w:w="3540"/>
            <w:tcMar>
              <w:top w:w="80" w:type="dxa"/>
              <w:start w:w="120" w:type="dxa"/>
              <w:bottom w:w="80" w:type="dxa"/>
              <w:end w:w="120" w:type="dxa"/>
            </w:tcMar>
            <w:vAlign w:val="center"/>
            <w:shd w:fill="1971AC"/>
          </w:tcPr>
          <w:p>
            <w:r>
              <w:rPr>
                <w:rFonts w:ascii="Calibri" w:hAnsi="Calibri" w:eastAsia="Calibri"/>
                <w:b/>
                <w:color w:val="FFFFFF"/>
                <w:sz w:val="19"/>
              </w:rPr>
              <w:t>À éviter</w:t>
            </w:r>
          </w:p>
        </w:tc>
      </w:tr>
      <w:tr>
        <w:tc>
          <w:tcPr>
            <w:tcW w:type="dxa" w:w="1600"/>
            <w:tcMar>
              <w:top w:w="80" w:type="dxa"/>
              <w:start w:w="120" w:type="dxa"/>
              <w:bottom w:w="80" w:type="dxa"/>
              <w:end w:w="120" w:type="dxa"/>
            </w:tcMar>
            <w:vAlign w:val="center"/>
          </w:tcPr>
          <w:p>
            <w:r>
              <w:rPr>
                <w:rFonts w:ascii="Calibri" w:hAnsi="Calibri" w:eastAsia="Calibri"/>
                <w:color w:val="30343B"/>
                <w:sz w:val="18"/>
              </w:rPr>
              <w:t>Faible</w:t>
            </w:r>
          </w:p>
        </w:tc>
        <w:tc>
          <w:tcPr>
            <w:tcW w:type="dxa" w:w="4220"/>
            <w:tcMar>
              <w:top w:w="80" w:type="dxa"/>
              <w:start w:w="120" w:type="dxa"/>
              <w:bottom w:w="80" w:type="dxa"/>
              <w:end w:w="120" w:type="dxa"/>
            </w:tcMar>
            <w:vAlign w:val="center"/>
          </w:tcPr>
          <w:p>
            <w:r>
              <w:rPr>
                <w:rFonts w:ascii="Calibri" w:hAnsi="Calibri" w:eastAsia="Calibri"/>
                <w:color w:val="30343B"/>
                <w:sz w:val="18"/>
              </w:rPr>
              <w:t>Recomptage, justification et validation normale</w:t>
            </w:r>
          </w:p>
        </w:tc>
        <w:tc>
          <w:tcPr>
            <w:tcW w:type="dxa" w:w="3540"/>
            <w:tcMar>
              <w:top w:w="80" w:type="dxa"/>
              <w:start w:w="120" w:type="dxa"/>
              <w:bottom w:w="80" w:type="dxa"/>
              <w:end w:w="120" w:type="dxa"/>
            </w:tcMar>
            <w:vAlign w:val="center"/>
          </w:tcPr>
          <w:p>
            <w:r>
              <w:rPr>
                <w:rFonts w:ascii="Calibri" w:hAnsi="Calibri" w:eastAsia="Calibri"/>
                <w:color w:val="30343B"/>
                <w:sz w:val="18"/>
              </w:rPr>
              <w:t>Ignorer l’écart</w:t>
            </w:r>
          </w:p>
        </w:tc>
      </w:tr>
      <w:tr>
        <w:tc>
          <w:tcPr>
            <w:tcW w:type="dxa" w:w="1600"/>
            <w:shd w:fill="F3F5F7"/>
            <w:tcMar>
              <w:top w:w="80" w:type="dxa"/>
              <w:start w:w="120" w:type="dxa"/>
              <w:bottom w:w="80" w:type="dxa"/>
              <w:end w:w="120" w:type="dxa"/>
            </w:tcMar>
            <w:vAlign w:val="center"/>
          </w:tcPr>
          <w:p>
            <w:r>
              <w:rPr>
                <w:rFonts w:ascii="Calibri" w:hAnsi="Calibri" w:eastAsia="Calibri"/>
                <w:color w:val="30343B"/>
                <w:sz w:val="18"/>
              </w:rPr>
              <w:t>Majeur</w:t>
            </w:r>
          </w:p>
        </w:tc>
        <w:tc>
          <w:tcPr>
            <w:tcW w:type="dxa" w:w="4220"/>
            <w:shd w:fill="F3F5F7"/>
            <w:tcMar>
              <w:top w:w="80" w:type="dxa"/>
              <w:start w:w="120" w:type="dxa"/>
              <w:bottom w:w="80" w:type="dxa"/>
              <w:end w:w="120" w:type="dxa"/>
            </w:tcMar>
            <w:vAlign w:val="center"/>
          </w:tcPr>
          <w:p>
            <w:r>
              <w:rPr>
                <w:rFonts w:ascii="Calibri" w:hAnsi="Calibri" w:eastAsia="Calibri"/>
                <w:color w:val="30343B"/>
                <w:sz w:val="18"/>
              </w:rPr>
              <w:t>Alerter le chef de caisse et appliquer le niveau de validation prévu</w:t>
            </w:r>
          </w:p>
        </w:tc>
        <w:tc>
          <w:tcPr>
            <w:tcW w:type="dxa" w:w="3540"/>
            <w:shd w:fill="F3F5F7"/>
            <w:tcMar>
              <w:top w:w="80" w:type="dxa"/>
              <w:start w:w="120" w:type="dxa"/>
              <w:bottom w:w="80" w:type="dxa"/>
              <w:end w:w="120" w:type="dxa"/>
            </w:tcMar>
            <w:vAlign w:val="center"/>
          </w:tcPr>
          <w:p>
            <w:r>
              <w:rPr>
                <w:rFonts w:ascii="Calibri" w:hAnsi="Calibri" w:eastAsia="Calibri"/>
                <w:color w:val="30343B"/>
                <w:sz w:val="18"/>
              </w:rPr>
              <w:t>Compenser par une fausse entrée/sortie</w:t>
            </w:r>
          </w:p>
        </w:tc>
      </w:tr>
      <w:tr>
        <w:tc>
          <w:tcPr>
            <w:tcW w:type="dxa" w:w="1600"/>
            <w:tcMar>
              <w:top w:w="80" w:type="dxa"/>
              <w:start w:w="120" w:type="dxa"/>
              <w:bottom w:w="80" w:type="dxa"/>
              <w:end w:w="120" w:type="dxa"/>
            </w:tcMar>
            <w:vAlign w:val="center"/>
          </w:tcPr>
          <w:p>
            <w:r>
              <w:rPr>
                <w:rFonts w:ascii="Calibri" w:hAnsi="Calibri" w:eastAsia="Calibri"/>
                <w:color w:val="30343B"/>
                <w:sz w:val="18"/>
              </w:rPr>
              <w:t>Critique</w:t>
            </w:r>
          </w:p>
        </w:tc>
        <w:tc>
          <w:tcPr>
            <w:tcW w:type="dxa" w:w="4220"/>
            <w:tcMar>
              <w:top w:w="80" w:type="dxa"/>
              <w:start w:w="120" w:type="dxa"/>
              <w:bottom w:w="80" w:type="dxa"/>
              <w:end w:w="120" w:type="dxa"/>
            </w:tcMar>
            <w:vAlign w:val="center"/>
          </w:tcPr>
          <w:p>
            <w:r>
              <w:rPr>
                <w:rFonts w:ascii="Calibri" w:hAnsi="Calibri" w:eastAsia="Calibri"/>
                <w:color w:val="30343B"/>
                <w:sz w:val="18"/>
              </w:rPr>
              <w:t>Geler si nécessaire, préserver les preuves et déclencher contrôle/audit</w:t>
            </w:r>
          </w:p>
        </w:tc>
        <w:tc>
          <w:tcPr>
            <w:tcW w:type="dxa" w:w="3540"/>
            <w:tcMar>
              <w:top w:w="80" w:type="dxa"/>
              <w:start w:w="120" w:type="dxa"/>
              <w:bottom w:w="80" w:type="dxa"/>
              <w:end w:w="120" w:type="dxa"/>
            </w:tcMar>
            <w:vAlign w:val="center"/>
          </w:tcPr>
          <w:p>
            <w:r>
              <w:rPr>
                <w:rFonts w:ascii="Calibri" w:hAnsi="Calibri" w:eastAsia="Calibri"/>
                <w:color w:val="30343B"/>
                <w:sz w:val="18"/>
              </w:rPr>
              <w:t>Modifier les données après coup sans trace</w:t>
            </w:r>
          </w:p>
        </w:tc>
      </w:tr>
    </w:tbl>
    <w:p>
      <w:pPr>
        <w:spacing w:after="0"/>
      </w:pPr>
    </w:p>
    <w:p>
      <w:r>
        <w:br w:type="page"/>
      </w:r>
    </w:p>
    <w:p>
      <w:pPr>
        <w:pStyle w:val="Heading1"/>
      </w:pPr>
      <w:r>
        <w:t>8. Contrôles, coffre et banque</w:t>
      </w:r>
    </w:p>
    <w:p>
      <w:pPr>
        <w:spacing w:after="200"/>
      </w:pPr>
      <w:r>
        <w:rPr>
          <w:rFonts w:ascii="Calibri" w:hAnsi="Calibri" w:eastAsia="Calibri"/>
          <w:color w:val="283244"/>
          <w:sz w:val="23"/>
        </w:rPr>
        <w:t>Ces opérations prolongent la responsabilité de caisse jusqu’à la conservation ou au dépôt des fonds.</w:t>
      </w:r>
    </w:p>
    <w:p>
      <w:pPr>
        <w:pStyle w:val="Heading2"/>
      </w:pPr>
      <w:r>
        <w:t>Contrôle inopiné</w:t>
      </w:r>
    </w:p>
    <w:p>
      <w:pPr>
        <w:spacing w:after="80" w:line="300" w:lineRule="auto"/>
        <w:ind w:left="540" w:hanging="271"/>
        <w:numPr>
          <w:ilvl w:val="0"/>
          <w:numId w:val="16"/>
        </w:numPr>
      </w:pPr>
      <w:r>
        <w:t>L’utilisateur habilité crée le contrôle sur la caisse et la session concernées.</w:t>
      </w:r>
    </w:p>
    <w:p>
      <w:pPr>
        <w:spacing w:after="80" w:line="300" w:lineRule="auto"/>
        <w:ind w:left="540" w:hanging="271"/>
        <w:numPr>
          <w:ilvl w:val="0"/>
          <w:numId w:val="16"/>
        </w:numPr>
      </w:pPr>
      <w:r>
        <w:t>Geler la caisse pendant le comptage si la procédure le prévoit.</w:t>
      </w:r>
    </w:p>
    <w:p>
      <w:pPr>
        <w:spacing w:after="80" w:line="300" w:lineRule="auto"/>
        <w:ind w:left="540" w:hanging="271"/>
        <w:numPr>
          <w:ilvl w:val="0"/>
          <w:numId w:val="16"/>
        </w:numPr>
      </w:pPr>
      <w:r>
        <w:t>Saisir les montants observés, constats, écarts, incidents et pièces.</w:t>
      </w:r>
    </w:p>
    <w:p>
      <w:pPr>
        <w:spacing w:after="80" w:line="300" w:lineRule="auto"/>
        <w:ind w:left="540" w:hanging="271"/>
        <w:numPr>
          <w:ilvl w:val="0"/>
          <w:numId w:val="16"/>
        </w:numPr>
      </w:pPr>
      <w:r>
        <w:t>Finaliser le contrôle et dégeler seulement après les vérifications nécessaires.</w:t>
      </w:r>
    </w:p>
    <w:p>
      <w:pPr>
        <w:pStyle w:val="Heading2"/>
      </w:pPr>
      <w:r>
        <w:t>Versement au coffre / transfert</w:t>
      </w:r>
    </w:p>
    <w:p>
      <w:pPr>
        <w:pStyle w:val="ListBullet"/>
      </w:pPr>
      <w:r>
        <w:t>Créer le transfert avec la caisse source, le montant, la date et la destination.</w:t>
      </w:r>
    </w:p>
    <w:p>
      <w:pPr>
        <w:pStyle w:val="ListBullet"/>
      </w:pPr>
      <w:r>
        <w:t>Remettre les fonds selon la procédure physique ; faire confirmer la réception par le rôle habilité.</w:t>
      </w:r>
    </w:p>
    <w:p>
      <w:pPr>
        <w:pStyle w:val="ListBullet"/>
      </w:pPr>
      <w:r>
        <w:t>Conserver les références et justificatifs de chaque remise.</w:t>
      </w:r>
    </w:p>
    <w:p>
      <w:pPr>
        <w:pStyle w:val="Heading2"/>
      </w:pPr>
      <w:r>
        <w:t>Dépôt banque et rapprochement</w:t>
      </w:r>
    </w:p>
    <w:p>
      <w:pPr>
        <w:spacing w:after="80" w:line="300" w:lineRule="auto"/>
        <w:ind w:left="540" w:hanging="271"/>
        <w:numPr>
          <w:ilvl w:val="0"/>
          <w:numId w:val="17"/>
        </w:numPr>
      </w:pPr>
      <w:r>
        <w:t>Créer le dépôt à partir de la caisse ou des fonds préparés, avec montant et compte cible.</w:t>
      </w:r>
    </w:p>
    <w:p>
      <w:pPr>
        <w:spacing w:after="80" w:line="300" w:lineRule="auto"/>
        <w:ind w:left="540" w:hanging="271"/>
        <w:numPr>
          <w:ilvl w:val="0"/>
          <w:numId w:val="17"/>
        </w:numPr>
      </w:pPr>
      <w:r>
        <w:t>Renseigner la date, la référence du bordereau et la preuve de dépôt.</w:t>
      </w:r>
    </w:p>
    <w:p>
      <w:pPr>
        <w:spacing w:after="80" w:line="300" w:lineRule="auto"/>
        <w:ind w:left="540" w:hanging="271"/>
        <w:numPr>
          <w:ilvl w:val="0"/>
          <w:numId w:val="17"/>
        </w:numPr>
      </w:pPr>
      <w:r>
        <w:t>Après apparition de la ligne bancaire, utiliser Rapprocher et vérifier compte, montant et unicité du lien.</w:t>
      </w:r>
    </w:p>
    <w:p>
      <w:pPr>
        <w:spacing w:after="80" w:line="300" w:lineRule="auto"/>
        <w:ind w:left="540" w:hanging="271"/>
        <w:numPr>
          <w:ilvl w:val="0"/>
          <w:numId w:val="17"/>
        </w:numPr>
      </w:pPr>
      <w:r>
        <w:t>Traiter toute alerte de dépôt non rapproché dans le délai défini.</w:t>
      </w:r>
    </w:p>
    <w:p>
      <w:r>
        <w:br w:type="page"/>
      </w:r>
    </w:p>
    <w:p>
      <w:pPr>
        <w:pStyle w:val="Heading1"/>
      </w:pPr>
      <w:r>
        <w:t>9. Valider une opération</w:t>
      </w:r>
    </w:p>
    <w:p>
      <w:pPr>
        <w:spacing w:after="200"/>
      </w:pPr>
      <w:r>
        <w:rPr>
          <w:rFonts w:ascii="Calibri" w:hAnsi="Calibri" w:eastAsia="Calibri"/>
          <w:color w:val="283244"/>
          <w:sz w:val="23"/>
        </w:rPr>
        <w:t>Mes validations en attente présente uniquement les étapes qui vous sont accessibles.</w:t>
      </w:r>
    </w:p>
    <w:p>
      <w:pPr>
        <w:spacing w:after="80" w:line="300" w:lineRule="auto"/>
        <w:ind w:left="540" w:hanging="271"/>
        <w:numPr>
          <w:ilvl w:val="0"/>
          <w:numId w:val="18"/>
        </w:numPr>
      </w:pPr>
      <w:r>
        <w:t>Ouvrir Mes validations en attente et sélectionner la demande.</w:t>
      </w:r>
    </w:p>
    <w:p>
      <w:pPr>
        <w:spacing w:after="80" w:line="300" w:lineRule="auto"/>
        <w:ind w:left="540" w:hanging="271"/>
        <w:numPr>
          <w:ilvl w:val="0"/>
          <w:numId w:val="18"/>
        </w:numPr>
      </w:pPr>
      <w:r>
        <w:t>Contrôler le demandeur, l’agence, le montant, l’objet source, les pièces et les décisions antérieures.</w:t>
      </w:r>
    </w:p>
    <w:p>
      <w:pPr>
        <w:spacing w:after="80" w:line="300" w:lineRule="auto"/>
        <w:ind w:left="540" w:hanging="271"/>
        <w:numPr>
          <w:ilvl w:val="0"/>
          <w:numId w:val="18"/>
        </w:numPr>
      </w:pPr>
      <w:r>
        <w:t>Comparer la demande à la délégation reçue et aux seuils applicables.</w:t>
      </w:r>
    </w:p>
    <w:p>
      <w:pPr>
        <w:spacing w:after="80" w:line="300" w:lineRule="auto"/>
        <w:ind w:left="540" w:hanging="271"/>
        <w:numPr>
          <w:ilvl w:val="0"/>
          <w:numId w:val="18"/>
        </w:numPr>
      </w:pPr>
      <w:r>
        <w:t>Approuver si tout est conforme ; sinon rejeter avec un motif exploitable. Ne validez jamais pour faire disparaître une alerte.</w:t>
      </w:r>
    </w:p>
    <w:p>
      <w:pPr>
        <w:spacing w:after="80" w:line="300" w:lineRule="auto"/>
        <w:ind w:left="540" w:hanging="271"/>
        <w:numPr>
          <w:ilvl w:val="0"/>
          <w:numId w:val="18"/>
        </w:numPr>
      </w:pPr>
      <w:r>
        <w:t>Vérifier que l’étape suivante est créée ou que l’objet atteint son statut final.</w:t>
      </w:r>
    </w:p>
    <w:tbl>
      <w:tblPr>
        <w:tblW w:type="dxa" w:w="9360"/>
        <w:tblLayout w:type="fixed"/>
        <w:tblLook w:firstColumn="1" w:firstRow="1" w:lastColumn="0" w:lastRow="0" w:noHBand="0" w:noVBand="1" w:val="04A0"/>
        <w:jc w:val="left"/>
        <w:tblInd w:w="0" w:type="dxa"/>
      </w:tblPr>
      <w:tblGrid>
        <w:gridCol w:w="2400"/>
        <w:gridCol w:w="6960"/>
      </w:tblGrid>
      <w:tr>
        <w:trPr>
          <w:tblHeader w:val="true"/>
        </w:trPr>
        <w:tc>
          <w:tcPr>
            <w:tcW w:type="dxa" w:w="2400"/>
            <w:tcMar>
              <w:top w:w="80" w:type="dxa"/>
              <w:start w:w="120" w:type="dxa"/>
              <w:bottom w:w="80" w:type="dxa"/>
              <w:end w:w="120" w:type="dxa"/>
            </w:tcMar>
            <w:vAlign w:val="center"/>
            <w:shd w:fill="1971AC"/>
          </w:tcPr>
          <w:p>
            <w:r>
              <w:rPr>
                <w:rFonts w:ascii="Calibri" w:hAnsi="Calibri" w:eastAsia="Calibri"/>
                <w:b/>
                <w:color w:val="FFFFFF"/>
                <w:sz w:val="19"/>
              </w:rPr>
              <w:t>Type</w:t>
            </w:r>
          </w:p>
        </w:tc>
        <w:tc>
          <w:tcPr>
            <w:tcW w:type="dxa" w:w="6960"/>
            <w:tcMar>
              <w:top w:w="80" w:type="dxa"/>
              <w:start w:w="120" w:type="dxa"/>
              <w:bottom w:w="80" w:type="dxa"/>
              <w:end w:w="120" w:type="dxa"/>
            </w:tcMar>
            <w:vAlign w:val="center"/>
            <w:shd w:fill="1971AC"/>
          </w:tcPr>
          <w:p>
            <w:r>
              <w:rPr>
                <w:rFonts w:ascii="Calibri" w:hAnsi="Calibri" w:eastAsia="Calibri"/>
                <w:b/>
                <w:color w:val="FFFFFF"/>
                <w:sz w:val="19"/>
              </w:rPr>
              <w:t>Points à examiner</w:t>
            </w:r>
          </w:p>
        </w:tc>
      </w:tr>
      <w:tr>
        <w:tc>
          <w:tcPr>
            <w:tcW w:type="dxa" w:w="2400"/>
            <w:tcMar>
              <w:top w:w="80" w:type="dxa"/>
              <w:start w:w="120" w:type="dxa"/>
              <w:bottom w:w="80" w:type="dxa"/>
              <w:end w:w="120" w:type="dxa"/>
            </w:tcMar>
            <w:vAlign w:val="center"/>
          </w:tcPr>
          <w:p>
            <w:r>
              <w:rPr>
                <w:rFonts w:ascii="Calibri" w:hAnsi="Calibri" w:eastAsia="Calibri"/>
                <w:color w:val="30343B"/>
                <w:sz w:val="18"/>
              </w:rPr>
              <w:t>Clôture</w:t>
            </w:r>
          </w:p>
        </w:tc>
        <w:tc>
          <w:tcPr>
            <w:tcW w:type="dxa" w:w="6960"/>
            <w:tcMar>
              <w:top w:w="80" w:type="dxa"/>
              <w:start w:w="120" w:type="dxa"/>
              <w:bottom w:w="80" w:type="dxa"/>
              <w:end w:w="120" w:type="dxa"/>
            </w:tcMar>
            <w:vAlign w:val="center"/>
          </w:tcPr>
          <w:p>
            <w:r>
              <w:rPr>
                <w:rFonts w:ascii="Calibri" w:hAnsi="Calibri" w:eastAsia="Calibri"/>
                <w:color w:val="30343B"/>
                <w:sz w:val="18"/>
              </w:rPr>
              <w:t>Comptage, écart, justification, contrôles et pièces</w:t>
            </w:r>
          </w:p>
        </w:tc>
      </w:tr>
      <w:tr>
        <w:tc>
          <w:tcPr>
            <w:tcW w:type="dxa" w:w="2400"/>
            <w:shd w:fill="F3F5F7"/>
            <w:tcMar>
              <w:top w:w="80" w:type="dxa"/>
              <w:start w:w="120" w:type="dxa"/>
              <w:bottom w:w="80" w:type="dxa"/>
              <w:end w:w="120" w:type="dxa"/>
            </w:tcMar>
            <w:vAlign w:val="center"/>
          </w:tcPr>
          <w:p>
            <w:r>
              <w:rPr>
                <w:rFonts w:ascii="Calibri" w:hAnsi="Calibri" w:eastAsia="Calibri"/>
                <w:color w:val="30343B"/>
                <w:sz w:val="18"/>
              </w:rPr>
              <w:t>Différé</w:t>
            </w:r>
          </w:p>
        </w:tc>
        <w:tc>
          <w:tcPr>
            <w:tcW w:type="dxa" w:w="6960"/>
            <w:shd w:fill="F3F5F7"/>
            <w:tcMar>
              <w:top w:w="80" w:type="dxa"/>
              <w:start w:w="120" w:type="dxa"/>
              <w:bottom w:w="80" w:type="dxa"/>
              <w:end w:w="120" w:type="dxa"/>
            </w:tcMar>
            <w:vAlign w:val="center"/>
          </w:tcPr>
          <w:p>
            <w:r>
              <w:rPr>
                <w:rFonts w:ascii="Calibri" w:hAnsi="Calibri" w:eastAsia="Calibri"/>
                <w:color w:val="30343B"/>
                <w:sz w:val="18"/>
              </w:rPr>
              <w:t>Client, plafond/exposition, échéance, pièce d’autorisation</w:t>
            </w:r>
          </w:p>
        </w:tc>
      </w:tr>
      <w:tr>
        <w:tc>
          <w:tcPr>
            <w:tcW w:type="dxa" w:w="2400"/>
            <w:tcMar>
              <w:top w:w="80" w:type="dxa"/>
              <w:start w:w="120" w:type="dxa"/>
              <w:bottom w:w="80" w:type="dxa"/>
              <w:end w:w="120" w:type="dxa"/>
            </w:tcMar>
            <w:vAlign w:val="center"/>
          </w:tcPr>
          <w:p>
            <w:r>
              <w:rPr>
                <w:rFonts w:ascii="Calibri" w:hAnsi="Calibri" w:eastAsia="Calibri"/>
                <w:color w:val="30343B"/>
                <w:sz w:val="18"/>
              </w:rPr>
              <w:t>Remboursement</w:t>
            </w:r>
          </w:p>
        </w:tc>
        <w:tc>
          <w:tcPr>
            <w:tcW w:type="dxa" w:w="6960"/>
            <w:tcMar>
              <w:top w:w="80" w:type="dxa"/>
              <w:start w:w="120" w:type="dxa"/>
              <w:bottom w:w="80" w:type="dxa"/>
              <w:end w:w="120" w:type="dxa"/>
            </w:tcMar>
            <w:vAlign w:val="center"/>
          </w:tcPr>
          <w:p>
            <w:r>
              <w:rPr>
                <w:rFonts w:ascii="Calibri" w:hAnsi="Calibri" w:eastAsia="Calibri"/>
                <w:color w:val="30343B"/>
                <w:sz w:val="18"/>
              </w:rPr>
              <w:t>Facture d’origine, cumul remboursé, motif, mode et séparation des rôles</w:t>
            </w:r>
          </w:p>
        </w:tc>
      </w:tr>
      <w:tr>
        <w:tc>
          <w:tcPr>
            <w:tcW w:type="dxa" w:w="2400"/>
            <w:shd w:fill="F3F5F7"/>
            <w:tcMar>
              <w:top w:w="80" w:type="dxa"/>
              <w:start w:w="120" w:type="dxa"/>
              <w:bottom w:w="80" w:type="dxa"/>
              <w:end w:w="120" w:type="dxa"/>
            </w:tcMar>
            <w:vAlign w:val="center"/>
          </w:tcPr>
          <w:p>
            <w:r>
              <w:rPr>
                <w:rFonts w:ascii="Calibri" w:hAnsi="Calibri" w:eastAsia="Calibri"/>
                <w:color w:val="30343B"/>
                <w:sz w:val="18"/>
              </w:rPr>
              <w:t>BC / BST / instruction</w:t>
            </w:r>
          </w:p>
        </w:tc>
        <w:tc>
          <w:tcPr>
            <w:tcW w:type="dxa" w:w="6960"/>
            <w:shd w:fill="F3F5F7"/>
            <w:tcMar>
              <w:top w:w="80" w:type="dxa"/>
              <w:start w:w="120" w:type="dxa"/>
              <w:bottom w:w="80" w:type="dxa"/>
              <w:end w:w="120" w:type="dxa"/>
            </w:tcMar>
            <w:vAlign w:val="center"/>
          </w:tcPr>
          <w:p>
            <w:r>
              <w:rPr>
                <w:rFonts w:ascii="Calibri" w:hAnsi="Calibri" w:eastAsia="Calibri"/>
                <w:color w:val="30343B"/>
                <w:sz w:val="18"/>
              </w:rPr>
              <w:t>Validité, auteur, montant, dates, portée et documents</w:t>
            </w:r>
          </w:p>
        </w:tc>
      </w:tr>
    </w:tbl>
    <w:p>
      <w:pPr>
        <w:spacing w:after="0"/>
      </w:pPr>
    </w:p>
    <w:p>
      <w:r>
        <w:br w:type="page"/>
      </w:r>
    </w:p>
    <w:p>
      <w:pPr>
        <w:pStyle w:val="Heading1"/>
      </w:pPr>
      <w:r>
        <w:t>10. Supervision, rapports et audit</w:t>
      </w:r>
    </w:p>
    <w:p>
      <w:pPr>
        <w:spacing w:after="200"/>
      </w:pPr>
      <w:r>
        <w:rPr>
          <w:rFonts w:ascii="Calibri" w:hAnsi="Calibri" w:eastAsia="Calibri"/>
          <w:color w:val="283244"/>
          <w:sz w:val="23"/>
        </w:rPr>
        <w:t>Les vues de pilotage respectent votre périmètre agence et vos droits.</w:t>
      </w:r>
    </w:p>
    <w:p>
      <w:pPr>
        <w:pStyle w:val="Heading2"/>
      </w:pPr>
      <w:r>
        <w:t>Supervision des caisses</w:t>
      </w:r>
    </w:p>
    <w:p>
      <w:pPr>
        <w:pStyle w:val="ListBullet"/>
      </w:pPr>
      <w:r>
        <w:t>Sessions ouvertes, en pause, gelées, à clôturer, à valider ou clôturées.</w:t>
      </w:r>
    </w:p>
    <w:p>
      <w:pPr>
        <w:pStyle w:val="ListBullet"/>
      </w:pPr>
      <w:r>
        <w:t>Durée des sessions, montants théoriques/physiques et écarts.</w:t>
      </w:r>
    </w:p>
    <w:p>
      <w:pPr>
        <w:pStyle w:val="ListBullet"/>
      </w:pPr>
      <w:r>
        <w:t>Alertes opérationnelles nécessitant une action ou une justification.</w:t>
      </w:r>
    </w:p>
    <w:p>
      <w:pPr>
        <w:pStyle w:val="Heading2"/>
      </w:pPr>
      <w:r>
        <w:t>Statistiques et pilotage transversal</w:t>
      </w:r>
    </w:p>
    <w:p>
      <w:pPr>
        <w:pStyle w:val="ListBullet"/>
      </w:pPr>
      <w:r>
        <w:t>Filtrer par période, agence, caisse, DAS, type d’opération ou statut selon les vues.</w:t>
      </w:r>
    </w:p>
    <w:p>
      <w:pPr>
        <w:pStyle w:val="ListBullet"/>
      </w:pPr>
      <w:r>
        <w:t>Comparer les volumes, encaissements, écarts, différés, dépôts et validations.</w:t>
      </w:r>
    </w:p>
    <w:p>
      <w:pPr>
        <w:pStyle w:val="ListBullet"/>
      </w:pPr>
      <w:r>
        <w:t>Exporter en CSV uniquement si vous possédez le droit d’export ; protéger les fichiers contenant des données sensibles.</w:t>
      </w:r>
    </w:p>
    <w:p>
      <w:pPr>
        <w:pStyle w:val="ListBullet"/>
      </w:pPr>
      <w:r>
        <w:t>Générer les documents PDF disponibles pour preuve, transmission ou archivage.</w:t>
      </w:r>
    </w:p>
    <w:p>
      <w:pPr>
        <w:pStyle w:val="Heading2"/>
      </w:pPr>
      <w:r>
        <w:t>Journal d’audit</w:t>
      </w:r>
    </w:p>
    <w:p>
      <w:r>
        <w:rPr>
          <w:rFonts w:ascii="Calibri" w:hAnsi="Calibri" w:eastAsia="Calibri"/>
        </w:rPr>
        <w:t>Le journal présente les événements sensibles avec utilisateur, date, action, objet et contexte. Il sert à reconstituer une séquence ; il ne remplace pas les justificatifs physiques ou réglementaires.</w:t>
      </w:r>
    </w:p>
    <w:tbl>
      <w:tblPr>
        <w:tblW w:type="dxa" w:w="9360"/>
        <w:jc w:val="left"/>
        <w:tblLayout w:type="fixed"/>
        <w:tblLook w:firstColumn="1" w:firstRow="1" w:lastColumn="0" w:lastRow="0" w:noHBand="0" w:noVBand="1" w:val="04A0"/>
        <w:tblInd w:w="0" w:type="dxa"/>
      </w:tblPr>
      <w:tblGrid>
        <w:gridCol w:w="180"/>
        <w:gridCol w:w="9180"/>
      </w:tblGrid>
      <w:tr>
        <w:tc>
          <w:tcPr>
            <w:tcW w:type="dxa" w:w="180"/>
            <w:tcMar>
              <w:top w:w="80" w:type="dxa"/>
              <w:start w:w="0" w:type="dxa"/>
              <w:bottom w:w="80" w:type="dxa"/>
              <w:end w:w="0" w:type="dxa"/>
            </w:tcMar>
            <w:vAlign w:val="center"/>
            <w:shd w:fill="20A4C2"/>
          </w:tcPr>
          <w:p/>
        </w:tc>
        <w:tc>
          <w:tcPr>
            <w:tcW w:type="dxa" w:w="9180"/>
            <w:tcMar>
              <w:top w:w="120" w:type="dxa"/>
              <w:start w:w="160" w:type="dxa"/>
              <w:bottom w:w="120" w:type="dxa"/>
              <w:end w:w="160" w:type="dxa"/>
            </w:tcMar>
            <w:vAlign w:val="center"/>
            <w:shd w:fill="EAF7FA"/>
          </w:tcPr>
          <w:p>
            <w:r>
              <w:rPr>
                <w:rFonts w:ascii="Calibri" w:hAnsi="Calibri" w:eastAsia="Calibri"/>
                <w:b/>
                <w:color w:val="283244"/>
              </w:rPr>
              <w:t>TakePOS</w:t>
              <w:br/>
            </w:r>
            <w:r>
              <w:rPr>
                <w:rFonts w:ascii="Calibri" w:hAnsi="Calibri" w:eastAsia="Calibri"/>
                <w:color w:val="30343B"/>
                <w:sz w:val="21"/>
              </w:rPr>
              <w:t>Le terminal est associé à une agence et une caisse. Une vente est bloquée côté serveur si aucune session valide n’est ouverte. Les paiements et annulations sont rattachés au contexte ; les remises supérieures au seuil déclenchent une alerte.</w:t>
            </w:r>
          </w:p>
        </w:tc>
      </w:tr>
    </w:tbl>
    <w:p>
      <w:pPr>
        <w:spacing w:after="0"/>
      </w:pPr>
    </w:p>
    <w:p>
      <w:r>
        <w:br w:type="page"/>
      </w:r>
    </w:p>
    <w:p>
      <w:pPr>
        <w:pStyle w:val="Heading1"/>
      </w:pPr>
      <w:r>
        <w:t>11. Dépannage utilisateur</w:t>
      </w:r>
    </w:p>
    <w:p>
      <w:pPr>
        <w:spacing w:after="200"/>
      </w:pPr>
      <w:r>
        <w:rPr>
          <w:rFonts w:ascii="Calibri" w:hAnsi="Calibri" w:eastAsia="Calibri"/>
          <w:color w:val="283244"/>
          <w:sz w:val="23"/>
        </w:rPr>
        <w:t>Ne répétez pas une validation si vous ignorez si la première a réussi : vérifiez d’abord la liste et la référence de l’objet.</w:t>
      </w:r>
    </w:p>
    <w:tbl>
      <w:tblPr>
        <w:tblW w:type="dxa" w:w="9360"/>
        <w:tblLayout w:type="fixed"/>
        <w:tblLook w:firstColumn="1" w:firstRow="1" w:lastColumn="0" w:lastRow="0" w:noHBand="0" w:noVBand="1" w:val="04A0"/>
        <w:jc w:val="left"/>
        <w:tblInd w:w="0" w:type="dxa"/>
      </w:tblPr>
      <w:tblGrid>
        <w:gridCol w:w="2000"/>
        <w:gridCol w:w="3500"/>
        <w:gridCol w:w="3860"/>
      </w:tblGrid>
      <w:tr>
        <w:trPr>
          <w:tblHeader w:val="true"/>
        </w:trPr>
        <w:tc>
          <w:tcPr>
            <w:tcW w:type="dxa" w:w="2000"/>
            <w:tcMar>
              <w:top w:w="80" w:type="dxa"/>
              <w:start w:w="120" w:type="dxa"/>
              <w:bottom w:w="80" w:type="dxa"/>
              <w:end w:w="120" w:type="dxa"/>
            </w:tcMar>
            <w:vAlign w:val="center"/>
            <w:shd w:fill="1971AC"/>
          </w:tcPr>
          <w:p>
            <w:r>
              <w:rPr>
                <w:rFonts w:ascii="Calibri" w:hAnsi="Calibri" w:eastAsia="Calibri"/>
                <w:b/>
                <w:color w:val="FFFFFF"/>
                <w:sz w:val="18"/>
              </w:rPr>
              <w:t>Symptôme</w:t>
            </w:r>
          </w:p>
        </w:tc>
        <w:tc>
          <w:tcPr>
            <w:tcW w:type="dxa" w:w="3500"/>
            <w:tcMar>
              <w:top w:w="80" w:type="dxa"/>
              <w:start w:w="120" w:type="dxa"/>
              <w:bottom w:w="80" w:type="dxa"/>
              <w:end w:w="120" w:type="dxa"/>
            </w:tcMar>
            <w:vAlign w:val="center"/>
            <w:shd w:fill="1971AC"/>
          </w:tcPr>
          <w:p>
            <w:r>
              <w:rPr>
                <w:rFonts w:ascii="Calibri" w:hAnsi="Calibri" w:eastAsia="Calibri"/>
                <w:b/>
                <w:color w:val="FFFFFF"/>
                <w:sz w:val="18"/>
              </w:rPr>
              <w:t>Causes probables</w:t>
            </w:r>
          </w:p>
        </w:tc>
        <w:tc>
          <w:tcPr>
            <w:tcW w:type="dxa" w:w="3860"/>
            <w:tcMar>
              <w:top w:w="80" w:type="dxa"/>
              <w:start w:w="120" w:type="dxa"/>
              <w:bottom w:w="80" w:type="dxa"/>
              <w:end w:w="120" w:type="dxa"/>
            </w:tcMar>
            <w:vAlign w:val="center"/>
            <w:shd w:fill="1971AC"/>
          </w:tcPr>
          <w:p>
            <w:r>
              <w:rPr>
                <w:rFonts w:ascii="Calibri" w:hAnsi="Calibri" w:eastAsia="Calibri"/>
                <w:b/>
                <w:color w:val="FFFFFF"/>
                <w:sz w:val="18"/>
              </w:rPr>
              <w:t>Action</w:t>
            </w:r>
          </w:p>
        </w:tc>
      </w:tr>
      <w:tr>
        <w:tc>
          <w:tcPr>
            <w:tcW w:type="dxa" w:w="2000"/>
            <w:tcMar>
              <w:top w:w="80" w:type="dxa"/>
              <w:start w:w="120" w:type="dxa"/>
              <w:bottom w:w="80" w:type="dxa"/>
              <w:end w:w="120" w:type="dxa"/>
            </w:tcMar>
            <w:vAlign w:val="center"/>
          </w:tcPr>
          <w:p>
            <w:r>
              <w:rPr>
                <w:rFonts w:ascii="Calibri" w:hAnsi="Calibri" w:eastAsia="Calibri"/>
                <w:color w:val="30343B"/>
                <w:sz w:val="17"/>
              </w:rPr>
              <w:t>Menu absent</w:t>
            </w:r>
          </w:p>
        </w:tc>
        <w:tc>
          <w:tcPr>
            <w:tcW w:type="dxa" w:w="3500"/>
            <w:tcMar>
              <w:top w:w="80" w:type="dxa"/>
              <w:start w:w="120" w:type="dxa"/>
              <w:bottom w:w="80" w:type="dxa"/>
              <w:end w:w="120" w:type="dxa"/>
            </w:tcMar>
            <w:vAlign w:val="center"/>
          </w:tcPr>
          <w:p>
            <w:r>
              <w:rPr>
                <w:rFonts w:ascii="Calibri" w:hAnsi="Calibri" w:eastAsia="Calibri"/>
                <w:color w:val="30343B"/>
                <w:sz w:val="17"/>
              </w:rPr>
              <w:t>Droit, groupe, module ou périmètre</w:t>
            </w:r>
          </w:p>
        </w:tc>
        <w:tc>
          <w:tcPr>
            <w:tcW w:type="dxa" w:w="3860"/>
            <w:tcMar>
              <w:top w:w="80" w:type="dxa"/>
              <w:start w:w="120" w:type="dxa"/>
              <w:bottom w:w="80" w:type="dxa"/>
              <w:end w:w="120" w:type="dxa"/>
            </w:tcMar>
            <w:vAlign w:val="center"/>
          </w:tcPr>
          <w:p>
            <w:r>
              <w:rPr>
                <w:rFonts w:ascii="Calibri" w:hAnsi="Calibri" w:eastAsia="Calibri"/>
                <w:color w:val="30343B"/>
                <w:sz w:val="17"/>
              </w:rPr>
              <w:t>Se reconnecter puis contacter l’administrateur avec le menu attendu</w:t>
            </w:r>
          </w:p>
        </w:tc>
      </w:tr>
      <w:tr>
        <w:tc>
          <w:tcPr>
            <w:tcW w:type="dxa" w:w="2000"/>
            <w:shd w:fill="F3F5F7"/>
            <w:tcMar>
              <w:top w:w="80" w:type="dxa"/>
              <w:start w:w="120" w:type="dxa"/>
              <w:bottom w:w="80" w:type="dxa"/>
              <w:end w:w="120" w:type="dxa"/>
            </w:tcMar>
            <w:vAlign w:val="center"/>
          </w:tcPr>
          <w:p>
            <w:r>
              <w:rPr>
                <w:rFonts w:ascii="Calibri" w:hAnsi="Calibri" w:eastAsia="Calibri"/>
                <w:color w:val="30343B"/>
                <w:sz w:val="17"/>
              </w:rPr>
              <w:t>Session impossible</w:t>
            </w:r>
          </w:p>
        </w:tc>
        <w:tc>
          <w:tcPr>
            <w:tcW w:type="dxa" w:w="3500"/>
            <w:shd w:fill="F3F5F7"/>
            <w:tcMar>
              <w:top w:w="80" w:type="dxa"/>
              <w:start w:w="120" w:type="dxa"/>
              <w:bottom w:w="80" w:type="dxa"/>
              <w:end w:w="120" w:type="dxa"/>
            </w:tcMar>
            <w:vAlign w:val="center"/>
          </w:tcPr>
          <w:p>
            <w:r>
              <w:rPr>
                <w:rFonts w:ascii="Calibri" w:hAnsi="Calibri" w:eastAsia="Calibri"/>
                <w:color w:val="30343B"/>
                <w:sz w:val="17"/>
              </w:rPr>
              <w:t>Caisse inactive, session concurrente ou droit manquant</w:t>
            </w:r>
          </w:p>
        </w:tc>
        <w:tc>
          <w:tcPr>
            <w:tcW w:type="dxa" w:w="3860"/>
            <w:shd w:fill="F3F5F7"/>
            <w:tcMar>
              <w:top w:w="80" w:type="dxa"/>
              <w:start w:w="120" w:type="dxa"/>
              <w:bottom w:w="80" w:type="dxa"/>
              <w:end w:w="120" w:type="dxa"/>
            </w:tcMar>
            <w:vAlign w:val="center"/>
          </w:tcPr>
          <w:p>
            <w:r>
              <w:rPr>
                <w:rFonts w:ascii="Calibri" w:hAnsi="Calibri" w:eastAsia="Calibri"/>
                <w:color w:val="30343B"/>
                <w:sz w:val="17"/>
              </w:rPr>
              <w:t>Vérifier la caisse et demander la résolution de la session existante</w:t>
            </w:r>
          </w:p>
        </w:tc>
      </w:tr>
      <w:tr>
        <w:tc>
          <w:tcPr>
            <w:tcW w:type="dxa" w:w="2000"/>
            <w:tcMar>
              <w:top w:w="80" w:type="dxa"/>
              <w:start w:w="120" w:type="dxa"/>
              <w:bottom w:w="80" w:type="dxa"/>
              <w:end w:w="120" w:type="dxa"/>
            </w:tcMar>
            <w:vAlign w:val="center"/>
          </w:tcPr>
          <w:p>
            <w:r>
              <w:rPr>
                <w:rFonts w:ascii="Calibri" w:hAnsi="Calibri" w:eastAsia="Calibri"/>
                <w:color w:val="30343B"/>
                <w:sz w:val="17"/>
              </w:rPr>
              <w:t>Encaissement refusé</w:t>
            </w:r>
          </w:p>
        </w:tc>
        <w:tc>
          <w:tcPr>
            <w:tcW w:type="dxa" w:w="3500"/>
            <w:tcMar>
              <w:top w:w="80" w:type="dxa"/>
              <w:start w:w="120" w:type="dxa"/>
              <w:bottom w:w="80" w:type="dxa"/>
              <w:end w:w="120" w:type="dxa"/>
            </w:tcMar>
            <w:vAlign w:val="center"/>
          </w:tcPr>
          <w:p>
            <w:r>
              <w:rPr>
                <w:rFonts w:ascii="Calibri" w:hAnsi="Calibri" w:eastAsia="Calibri"/>
                <w:color w:val="30343B"/>
                <w:sz w:val="17"/>
              </w:rPr>
              <w:t>Session fermée/gelée, facture invalide, mode non autorisé</w:t>
            </w:r>
          </w:p>
        </w:tc>
        <w:tc>
          <w:tcPr>
            <w:tcW w:type="dxa" w:w="3860"/>
            <w:tcMar>
              <w:top w:w="80" w:type="dxa"/>
              <w:start w:w="120" w:type="dxa"/>
              <w:bottom w:w="80" w:type="dxa"/>
              <w:end w:w="120" w:type="dxa"/>
            </w:tcMar>
            <w:vAlign w:val="center"/>
          </w:tcPr>
          <w:p>
            <w:r>
              <w:rPr>
                <w:rFonts w:ascii="Calibri" w:hAnsi="Calibri" w:eastAsia="Calibri"/>
                <w:color w:val="30343B"/>
                <w:sz w:val="17"/>
              </w:rPr>
              <w:t>Corriger la cause affichée ; ne pas contourner</w:t>
            </w:r>
          </w:p>
        </w:tc>
      </w:tr>
      <w:tr>
        <w:tc>
          <w:tcPr>
            <w:tcW w:type="dxa" w:w="2000"/>
            <w:shd w:fill="F3F5F7"/>
            <w:tcMar>
              <w:top w:w="80" w:type="dxa"/>
              <w:start w:w="120" w:type="dxa"/>
              <w:bottom w:w="80" w:type="dxa"/>
              <w:end w:w="120" w:type="dxa"/>
            </w:tcMar>
            <w:vAlign w:val="center"/>
          </w:tcPr>
          <w:p>
            <w:r>
              <w:rPr>
                <w:rFonts w:ascii="Calibri" w:hAnsi="Calibri" w:eastAsia="Calibri"/>
                <w:color w:val="30343B"/>
                <w:sz w:val="17"/>
              </w:rPr>
              <w:t>Validation non proposée</w:t>
            </w:r>
          </w:p>
        </w:tc>
        <w:tc>
          <w:tcPr>
            <w:tcW w:type="dxa" w:w="3500"/>
            <w:shd w:fill="F3F5F7"/>
            <w:tcMar>
              <w:top w:w="80" w:type="dxa"/>
              <w:start w:w="120" w:type="dxa"/>
              <w:bottom w:w="80" w:type="dxa"/>
              <w:end w:w="120" w:type="dxa"/>
            </w:tcMar>
            <w:vAlign w:val="center"/>
          </w:tcPr>
          <w:p>
            <w:r>
              <w:rPr>
                <w:rFonts w:ascii="Calibri" w:hAnsi="Calibri" w:eastAsia="Calibri"/>
                <w:color w:val="30343B"/>
                <w:sz w:val="17"/>
              </w:rPr>
              <w:t>Mauvaise étape, rôle non assigné ou auto-approbation interdite</w:t>
            </w:r>
          </w:p>
        </w:tc>
        <w:tc>
          <w:tcPr>
            <w:tcW w:type="dxa" w:w="3860"/>
            <w:shd w:fill="F3F5F7"/>
            <w:tcMar>
              <w:top w:w="80" w:type="dxa"/>
              <w:start w:w="120" w:type="dxa"/>
              <w:bottom w:w="80" w:type="dxa"/>
              <w:end w:w="120" w:type="dxa"/>
            </w:tcMar>
            <w:vAlign w:val="center"/>
          </w:tcPr>
          <w:p>
            <w:r>
              <w:rPr>
                <w:rFonts w:ascii="Calibri" w:hAnsi="Calibri" w:eastAsia="Calibri"/>
                <w:color w:val="30343B"/>
                <w:sz w:val="17"/>
              </w:rPr>
              <w:t>Vérifier le workflow et le valideur attendu</w:t>
            </w:r>
          </w:p>
        </w:tc>
      </w:tr>
      <w:tr>
        <w:tc>
          <w:tcPr>
            <w:tcW w:type="dxa" w:w="2000"/>
            <w:tcMar>
              <w:top w:w="80" w:type="dxa"/>
              <w:start w:w="120" w:type="dxa"/>
              <w:bottom w:w="80" w:type="dxa"/>
              <w:end w:w="120" w:type="dxa"/>
            </w:tcMar>
            <w:vAlign w:val="center"/>
          </w:tcPr>
          <w:p>
            <w:r>
              <w:rPr>
                <w:rFonts w:ascii="Calibri" w:hAnsi="Calibri" w:eastAsia="Calibri"/>
                <w:color w:val="30343B"/>
                <w:sz w:val="17"/>
              </w:rPr>
              <w:t>PDF/CSV absent</w:t>
            </w:r>
          </w:p>
        </w:tc>
        <w:tc>
          <w:tcPr>
            <w:tcW w:type="dxa" w:w="3500"/>
            <w:tcMar>
              <w:top w:w="80" w:type="dxa"/>
              <w:start w:w="120" w:type="dxa"/>
              <w:bottom w:w="80" w:type="dxa"/>
              <w:end w:w="120" w:type="dxa"/>
            </w:tcMar>
            <w:vAlign w:val="center"/>
          </w:tcPr>
          <w:p>
            <w:r>
              <w:rPr>
                <w:rFonts w:ascii="Calibri" w:hAnsi="Calibri" w:eastAsia="Calibri"/>
                <w:color w:val="30343B"/>
                <w:sz w:val="17"/>
              </w:rPr>
              <w:t>Droit d’export ou données insuffisantes</w:t>
            </w:r>
          </w:p>
        </w:tc>
        <w:tc>
          <w:tcPr>
            <w:tcW w:type="dxa" w:w="3860"/>
            <w:tcMar>
              <w:top w:w="80" w:type="dxa"/>
              <w:start w:w="120" w:type="dxa"/>
              <w:bottom w:w="80" w:type="dxa"/>
              <w:end w:w="120" w:type="dxa"/>
            </w:tcMar>
            <w:vAlign w:val="center"/>
          </w:tcPr>
          <w:p>
            <w:r>
              <w:rPr>
                <w:rFonts w:ascii="Calibri" w:hAnsi="Calibri" w:eastAsia="Calibri"/>
                <w:color w:val="30343B"/>
                <w:sz w:val="17"/>
              </w:rPr>
              <w:t>Vérifier filtre, statut et habilitation</w:t>
            </w:r>
          </w:p>
        </w:tc>
      </w:tr>
      <w:tr>
        <w:tc>
          <w:tcPr>
            <w:tcW w:type="dxa" w:w="2000"/>
            <w:shd w:fill="F3F5F7"/>
            <w:tcMar>
              <w:top w:w="80" w:type="dxa"/>
              <w:start w:w="120" w:type="dxa"/>
              <w:bottom w:w="80" w:type="dxa"/>
              <w:end w:w="120" w:type="dxa"/>
            </w:tcMar>
            <w:vAlign w:val="center"/>
          </w:tcPr>
          <w:p>
            <w:r>
              <w:rPr>
                <w:rFonts w:ascii="Calibri" w:hAnsi="Calibri" w:eastAsia="Calibri"/>
                <w:color w:val="30343B"/>
                <w:sz w:val="17"/>
              </w:rPr>
              <w:t>TakePOS bloqué</w:t>
            </w:r>
          </w:p>
        </w:tc>
        <w:tc>
          <w:tcPr>
            <w:tcW w:type="dxa" w:w="3500"/>
            <w:shd w:fill="F3F5F7"/>
            <w:tcMar>
              <w:top w:w="80" w:type="dxa"/>
              <w:start w:w="120" w:type="dxa"/>
              <w:bottom w:w="80" w:type="dxa"/>
              <w:end w:w="120" w:type="dxa"/>
            </w:tcMar>
            <w:vAlign w:val="center"/>
          </w:tcPr>
          <w:p>
            <w:r>
              <w:rPr>
                <w:rFonts w:ascii="Calibri" w:hAnsi="Calibri" w:eastAsia="Calibri"/>
                <w:color w:val="30343B"/>
                <w:sz w:val="17"/>
              </w:rPr>
              <w:t>Terminal non mappé ou session absente</w:t>
            </w:r>
          </w:p>
        </w:tc>
        <w:tc>
          <w:tcPr>
            <w:tcW w:type="dxa" w:w="3860"/>
            <w:shd w:fill="F3F5F7"/>
            <w:tcMar>
              <w:top w:w="80" w:type="dxa"/>
              <w:start w:w="120" w:type="dxa"/>
              <w:bottom w:w="80" w:type="dxa"/>
              <w:end w:w="120" w:type="dxa"/>
            </w:tcMar>
            <w:vAlign w:val="center"/>
          </w:tcPr>
          <w:p>
            <w:r>
              <w:rPr>
                <w:rFonts w:ascii="Calibri" w:hAnsi="Calibri" w:eastAsia="Calibri"/>
                <w:color w:val="30343B"/>
                <w:sz w:val="17"/>
              </w:rPr>
              <w:t>Communiquer la référence du terminal et de la caisse</w:t>
            </w:r>
          </w:p>
        </w:tc>
      </w:tr>
    </w:tbl>
    <w:p>
      <w:pPr>
        <w:spacing w:after="0"/>
      </w:pPr>
    </w:p>
    <w:p>
      <w:pPr>
        <w:pStyle w:val="Heading2"/>
      </w:pPr>
      <w:r>
        <w:t>Informations à joindre à une demande d’assistance</w:t>
      </w:r>
    </w:p>
    <w:p>
      <w:pPr>
        <w:pStyle w:val="ListBullet"/>
      </w:pPr>
      <w:r>
        <w:t>Votre nom d’utilisateur, l’entité, l’agence, la caisse et la référence de session.</w:t>
      </w:r>
    </w:p>
    <w:p>
      <w:pPr>
        <w:pStyle w:val="ListBullet"/>
      </w:pPr>
      <w:r>
        <w:t>La référence de la facture, du paiement, du remboursement, du dépôt ou de la validation.</w:t>
      </w:r>
    </w:p>
    <w:p>
      <w:pPr>
        <w:pStyle w:val="ListBullet"/>
      </w:pPr>
      <w:r>
        <w:t>La date/heure, le message exact et une capture sans donnée inutilement sensible.</w:t>
      </w:r>
    </w:p>
    <w:p>
      <w:pPr>
        <w:pStyle w:val="ListBullet"/>
      </w:pPr>
      <w:r>
        <w:t>L’action attendue et ce qui a déjà été vérifié.</w:t>
      </w:r>
    </w:p>
    <w:p>
      <w:r>
        <w:br w:type="page"/>
      </w:r>
    </w:p>
    <w:p>
      <w:pPr>
        <w:pStyle w:val="Heading1"/>
      </w:pPr>
      <w:r>
        <w:t>12. Checklists quotidiennes</w:t>
      </w:r>
    </w:p>
    <w:p>
      <w:pPr>
        <w:spacing w:after="200"/>
      </w:pPr>
      <w:r>
        <w:rPr>
          <w:rFonts w:ascii="Calibri" w:hAnsi="Calibri" w:eastAsia="Calibri"/>
          <w:color w:val="283244"/>
          <w:sz w:val="23"/>
        </w:rPr>
        <w:t>Ces contrôles courts réduisent les erreurs de début et de fin de journée.</w:t>
      </w:r>
    </w:p>
    <w:p>
      <w:pPr>
        <w:pStyle w:val="Heading2"/>
      </w:pPr>
      <w:r>
        <w:t>Caissier — ouverture</w:t>
      </w:r>
    </w:p>
    <w:p>
      <w:pPr>
        <w:pStyle w:val="ListBullet"/>
      </w:pPr>
      <w:r>
        <w:t>Compte personnel utilisé ; bonne agence et bonne caisse.</w:t>
      </w:r>
    </w:p>
    <w:p>
      <w:pPr>
        <w:pStyle w:val="ListBullet"/>
      </w:pPr>
      <w:r>
        <w:t>Fond initial compté ; session ouverte ; terminal TakePOS reconnu.</w:t>
      </w:r>
    </w:p>
    <w:p>
      <w:pPr>
        <w:pStyle w:val="ListBullet"/>
      </w:pPr>
      <w:r>
        <w:t>Espèces, TPE, mobile et documents nécessaires disponibles.</w:t>
      </w:r>
    </w:p>
    <w:p>
      <w:pPr>
        <w:pStyle w:val="Heading2"/>
      </w:pPr>
      <w:r>
        <w:t>Caissier — clôture</w:t>
      </w:r>
    </w:p>
    <w:p>
      <w:pPr>
        <w:pStyle w:val="ListBullet"/>
      </w:pPr>
      <w:r>
        <w:t>Aucune opération en cours ; paiements et références contrôlés.</w:t>
      </w:r>
    </w:p>
    <w:p>
      <w:pPr>
        <w:pStyle w:val="ListBullet"/>
      </w:pPr>
      <w:r>
        <w:t>Comptage détaillé saisi ; écarts recomptés et expliqués.</w:t>
      </w:r>
    </w:p>
    <w:p>
      <w:pPr>
        <w:pStyle w:val="ListBullet"/>
      </w:pPr>
      <w:r>
        <w:t>Clôture soumise ; fonds transmis selon procédure ; session non laissée ouverte.</w:t>
      </w:r>
    </w:p>
    <w:p>
      <w:pPr>
        <w:pStyle w:val="Heading2"/>
      </w:pPr>
      <w:r>
        <w:t>Valideur / responsable</w:t>
      </w:r>
    </w:p>
    <w:p>
      <w:pPr>
        <w:pStyle w:val="ListBullet"/>
      </w:pPr>
      <w:r>
        <w:t>File Mes validations en attente traitée avec examen des preuves.</w:t>
      </w:r>
    </w:p>
    <w:p>
      <w:pPr>
        <w:pStyle w:val="ListBullet"/>
      </w:pPr>
      <w:r>
        <w:t>Sessions longues, écarts majeurs, différés échus et dépôts non rapprochés examinés.</w:t>
      </w:r>
    </w:p>
    <w:p>
      <w:pPr>
        <w:pStyle w:val="ListBullet"/>
      </w:pPr>
      <w:r>
        <w:t>Rejets motivés ; incidents escaladés ; aucun partage de compte ni validation de complaisance.</w:t>
      </w:r>
    </w:p>
    <w:tbl>
      <w:tblPr>
        <w:tblW w:type="dxa" w:w="9360"/>
        <w:jc w:val="left"/>
        <w:tblLayout w:type="fixed"/>
        <w:tblLook w:firstColumn="1" w:firstRow="1" w:lastColumn="0" w:lastRow="0" w:noHBand="0" w:noVBand="1" w:val="04A0"/>
        <w:tblInd w:w="0" w:type="dxa"/>
      </w:tblPr>
      <w:tblGrid>
        <w:gridCol w:w="180"/>
        <w:gridCol w:w="9180"/>
      </w:tblGrid>
      <w:tr>
        <w:tc>
          <w:tcPr>
            <w:tcW w:type="dxa" w:w="180"/>
            <w:tcMar>
              <w:top w:w="80" w:type="dxa"/>
              <w:start w:w="0" w:type="dxa"/>
              <w:bottom w:w="80" w:type="dxa"/>
              <w:end w:w="0" w:type="dxa"/>
            </w:tcMar>
            <w:vAlign w:val="center"/>
            <w:shd w:fill="20A4C2"/>
          </w:tcPr>
          <w:p/>
        </w:tc>
        <w:tc>
          <w:tcPr>
            <w:tcW w:type="dxa" w:w="9180"/>
            <w:tcMar>
              <w:top w:w="120" w:type="dxa"/>
              <w:start w:w="160" w:type="dxa"/>
              <w:bottom w:w="120" w:type="dxa"/>
              <w:end w:w="160" w:type="dxa"/>
            </w:tcMar>
            <w:vAlign w:val="center"/>
            <w:shd w:fill="EAF7FA"/>
          </w:tcPr>
          <w:p>
            <w:r>
              <w:rPr>
                <w:rFonts w:ascii="Calibri" w:hAnsi="Calibri" w:eastAsia="Calibri"/>
                <w:b/>
                <w:color w:val="283244"/>
              </w:rPr>
              <w:t>Assistance iPowerWorld</w:t>
              <w:br/>
            </w:r>
            <w:r>
              <w:rPr>
                <w:rFonts w:ascii="Calibri" w:hAnsi="Calibri" w:eastAsia="Calibri"/>
                <w:color w:val="30343B"/>
                <w:sz w:val="21"/>
              </w:rPr>
              <w:t>Pour une question fonctionnelle, une anomalie ou un besoin de paramétrage, indiquez votre entité, l’agence, la caisse, la référence de l’objet concerné et une capture du message. Contact : csa@ipowerworld.net.</w:t>
            </w:r>
          </w:p>
        </w:tc>
      </w:tr>
    </w:tbl>
    <w:p>
      <w:pPr>
        <w:spacing w:after="0"/>
      </w:pPr>
    </w:p>
    <w:sectPr w:rsidR="00FC693F" w:rsidRPr="0006063C" w:rsidSect="00034616">
      <w:headerReference w:type="default" r:id="rId9"/>
      <w:footerReference w:type="default" r:id="rId10"/>
      <w:pgSz w:w="12240" w:h="15840"/>
      <w:pgMar w:top="1152" w:right="1440" w:bottom="108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3300"/>
      <w:gridCol w:w="4260"/>
      <w:gridCol w:w="1800"/>
    </w:tblGrid>
    <w:tr>
      <w:tc>
        <w:tcPr>
          <w:tcW w:type="dxa" w:w="3300"/>
          <w:tcMar>
            <w:top w:w="30" w:type="dxa"/>
            <w:start w:w="0" w:type="dxa"/>
            <w:bottom w:w="0" w:type="dxa"/>
            <w:end w:w="0" w:type="dxa"/>
          </w:tcMar>
          <w:vAlign w:val="center"/>
        </w:tcPr>
        <w:p>
          <w:r>
            <w:rPr>
              <w:rFonts w:ascii="Calibri" w:hAnsi="Calibri" w:eastAsia="Calibri"/>
              <w:color w:val="6B7280"/>
              <w:sz w:val="17"/>
            </w:rPr>
            <w:t>PowerERP · Agence 2.0.0</w:t>
          </w:r>
        </w:p>
      </w:tc>
      <w:tc>
        <w:tcPr>
          <w:tcW w:type="dxa" w:w="4260"/>
          <w:tcMar>
            <w:top w:w="30" w:type="dxa"/>
            <w:start w:w="0" w:type="dxa"/>
            <w:bottom w:w="0" w:type="dxa"/>
            <w:end w:w="0" w:type="dxa"/>
          </w:tcMar>
          <w:vAlign w:val="center"/>
        </w:tcPr>
        <w:p>
          <w:pPr>
            <w:jc w:val="center"/>
          </w:pPr>
          <w:hyperlink r:id="rId1">
            <w:r>
              <w:rPr>
                <w:color w:val="1971AC"/>
                <w:rFonts w:ascii="Calibri" w:hAnsi="Calibri"/>
              </w:rPr>
              <w:t>csa@ipowerworld.net</w:t>
            </w:r>
          </w:hyperlink>
        </w:p>
      </w:tc>
      <w:tc>
        <w:tcPr>
          <w:tcW w:type="dxa" w:w="1800"/>
          <w:tcMar>
            <w:top w:w="30" w:type="dxa"/>
            <w:start w:w="0" w:type="dxa"/>
            <w:bottom w:w="0" w:type="dxa"/>
            <w:end w:w="0" w:type="dxa"/>
          </w:tcMar>
          <w:vAlign w:val="center"/>
        </w:tcPr>
        <w:p>
          <w:pPr>
            <w:jc w:val="right"/>
          </w:pPr>
          <w:r>
            <w:rPr>
              <w:rFonts w:ascii="Calibri" w:hAnsi="Calibri" w:eastAsia="Calibri"/>
              <w:color w:val="6B7280"/>
              <w:sz w:val="17"/>
            </w:rPr>
            <w:t xml:space="preserve">Page </w:t>
          </w:r>
          <w:r>
            <w:rPr>
              <w:rFonts w:ascii="Calibri" w:hAnsi="Calibri" w:eastAsia="Calibri"/>
              <w:color w:val="6B7280"/>
              <w:sz w:val="17"/>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0" w:type="dxa"/>
    </w:tblPr>
    <w:tblGrid>
      <w:gridCol w:w="2100"/>
      <w:gridCol w:w="7260"/>
    </w:tblGrid>
    <w:tr>
      <w:tc>
        <w:tcPr>
          <w:tcW w:type="dxa" w:w="2100"/>
          <w:tcMar>
            <w:top w:w="0" w:type="dxa"/>
            <w:start w:w="0" w:type="dxa"/>
            <w:bottom w:w="30" w:type="dxa"/>
            <w:end w:w="0" w:type="dxa"/>
          </w:tcMar>
          <w:vAlign w:val="center"/>
        </w:tcPr>
        <w:p>
          <w:r>
            <w:drawing>
              <wp:inline xmlns:a="http://schemas.openxmlformats.org/drawingml/2006/main" xmlns:pic="http://schemas.openxmlformats.org/drawingml/2006/picture">
                <wp:extent cx="1234440" cy="436258"/>
                <wp:docPr id="1" name="Picture 1"/>
                <wp:cNvGraphicFramePr>
                  <a:graphicFrameLocks noChangeAspect="1"/>
                </wp:cNvGraphicFramePr>
                <a:graphic>
                  <a:graphicData uri="http://schemas.openxmlformats.org/drawingml/2006/picture">
                    <pic:pic>
                      <pic:nvPicPr>
                        <pic:cNvPr id="0" name="ipowerworld-logo.png"/>
                        <pic:cNvPicPr/>
                      </pic:nvPicPr>
                      <pic:blipFill>
                        <a:blip r:embed="rId1"/>
                        <a:stretch>
                          <a:fillRect/>
                        </a:stretch>
                      </pic:blipFill>
                      <pic:spPr>
                        <a:xfrm>
                          <a:off x="0" y="0"/>
                          <a:ext cx="1234440" cy="436258"/>
                        </a:xfrm>
                        <a:prstGeom prst="rect"/>
                      </pic:spPr>
                    </pic:pic>
                  </a:graphicData>
                </a:graphic>
              </wp:inline>
            </w:drawing>
          </w:r>
        </w:p>
      </w:tc>
      <w:tc>
        <w:tcPr>
          <w:tcW w:type="dxa" w:w="7260"/>
          <w:tcMar>
            <w:top w:w="0" w:type="dxa"/>
            <w:start w:w="0" w:type="dxa"/>
            <w:bottom w:w="30" w:type="dxa"/>
            <w:end w:w="0" w:type="dxa"/>
          </w:tcMar>
          <w:vAlign w:val="center"/>
        </w:tcPr>
        <w:p>
          <w:pPr>
            <w:jc w:val="right"/>
          </w:pPr>
          <w:r>
            <w:rPr>
              <w:rFonts w:ascii="Calibri" w:hAnsi="Calibri" w:eastAsia="Calibri"/>
              <w:b/>
              <w:color w:val="283244"/>
              <w:sz w:val="17"/>
            </w:rPr>
            <w:t>Manuel utilisateur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abstractNum w:abstractNumId="15">
    <w:multiLevelType w:val="singleLevel"/>
    <w:lvl w:ilvl="0">
      <w:start w:val="1"/>
      <w:numFmt w:val="decimal"/>
      <w:lvlText w:val="%1."/>
      <w:suff w:val="tab"/>
      <w:pPr>
        <w:tabs>
          <w:tab w:val="num" w:pos="540"/>
        </w:tabs>
        <w:ind w:left="540" w:hanging="270"/>
      </w:pPr>
    </w:lvl>
  </w:abstractNum>
  <w:num w:numId="16">
    <w:abstractNumId w:val="15"/>
  </w:num>
  <w:abstractNum w:abstractNumId="16">
    <w:multiLevelType w:val="singleLevel"/>
    <w:lvl w:ilvl="0">
      <w:start w:val="1"/>
      <w:numFmt w:val="decimal"/>
      <w:lvlText w:val="%1."/>
      <w:suff w:val="tab"/>
      <w:pPr>
        <w:tabs>
          <w:tab w:val="num" w:pos="540"/>
        </w:tabs>
        <w:ind w:left="540" w:hanging="270"/>
      </w:pPr>
    </w:lvl>
  </w:abstractNum>
  <w:num w:numId="17">
    <w:abstractNumId w:val="16"/>
  </w:num>
  <w:abstractNum w:abstractNumId="17">
    <w:multiLevelType w:val="singleLevel"/>
    <w:lvl w:ilvl="0">
      <w:start w:val="1"/>
      <w:numFmt w:val="decimal"/>
      <w:lvlText w:val="%1."/>
      <w:suff w:val="tab"/>
      <w:pPr>
        <w:tabs>
          <w:tab w:val="num" w:pos="540"/>
        </w:tabs>
        <w:ind w:left="540" w:hanging="270"/>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eastAsia="Calibri"/>
      <w:color w:val="3034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Calibri"/>
      <w:b/>
      <w:bCs/>
      <w:color w:val="283244"/>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Calibri"/>
      <w:b/>
      <w:bCs/>
      <w:color w:val="1971AC"/>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Calibri"/>
      <w:b/>
      <w:bCs/>
      <w:color w:val="2832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2832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Calibri" w:hAnsi="Calibri" w:eastAsia="Calibri"/>
      <w:b w:val="0"/>
      <w:i/>
      <w:iCs/>
      <w:color w:val="1971A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color w:val="30343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color w:val="30343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mailto:csa@ipowerworld.ne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csa@ipowerworld.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du module Agence</dc:title>
  <dc:subject>Guide d’utilisation opérationnelle du module Agence de PowerERP</dc:subject>
  <dc:creator>iPowerWorld</dc:creator>
  <cp:keywords>PowerERP, Agence, Dolibarr, iPowerWorld, caisse, contrôle, finance</cp:keywords>
  <dc:description>PowerERP — Module Agence 2.0.0</dc:description>
  <cp:lastModifiedBy/>
  <cp:revision>1</cp:revision>
  <dcterms:created xsi:type="dcterms:W3CDTF">2013-12-23T23:15:00Z</dcterms:created>
  <dcterms:modified xsi:type="dcterms:W3CDTF">2013-12-23T23:15:00Z</dcterms:modified>
  <cp:category/>
</cp:coreProperties>
</file>