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1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owerworld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188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22" w:type="dxa"/>
              <w:start w:w="0" w:type="dxa"/>
              <w:bottom w:w="22" w:type="dxa"/>
              <w:end w:w="0" w:type="dxa"/>
            </w:tcMar>
            <w:vAlign w:val="center"/>
            <w:shd w:fill="283244"/>
          </w:tcPr>
          <w:p>
            <w:r>
              <w:t xml:space="preserve"> </w:t>
            </w:r>
          </w:p>
        </w:tc>
      </w:tr>
    </w:tbl>
    <w:p>
      <w:pPr>
        <w:pStyle w:val="Title"/>
        <w:spacing w:before="760"/>
        <w:jc w:val="center"/>
      </w:pPr>
      <w:r>
        <w:rPr>
          <w:rFonts w:ascii="Calibri" w:hAnsi="Calibri" w:eastAsia="Calibri"/>
          <w:b/>
          <w:color w:val="283244"/>
          <w:sz w:val="54"/>
        </w:rPr>
        <w:t>Module Agence</w:t>
      </w:r>
    </w:p>
    <w:p>
      <w:pPr>
        <w:pStyle w:val="Subtitle"/>
        <w:jc w:val="center"/>
      </w:pPr>
      <w:r>
        <w:rPr>
          <w:rFonts w:ascii="Calibri" w:hAnsi="Calibri" w:eastAsia="Calibri"/>
          <w:color w:val="1971AC"/>
          <w:sz w:val="28"/>
        </w:rPr>
        <w:t>Manuel administrateur</w:t>
      </w:r>
    </w:p>
    <w:p>
      <w:pPr>
        <w:spacing w:before="320"/>
        <w:jc w:val="center"/>
      </w:pPr>
      <w:r>
        <w:rPr>
          <w:rFonts w:ascii="Calibri" w:hAnsi="Calibri" w:eastAsia="Calibri"/>
          <w:b/>
          <w:color w:val="E45510"/>
          <w:sz w:val="24"/>
        </w:rPr>
        <w:t>PowerERP · Module Agence 2.0.0</w:t>
      </w:r>
    </w:p>
    <w:p>
      <w:pPr>
        <w:jc w:val="center"/>
      </w:pPr>
      <w:r>
        <w:rPr>
          <w:rFonts w:ascii="Calibri" w:hAnsi="Calibri" w:eastAsia="Calibri"/>
          <w:color w:val="6B7280"/>
          <w:sz w:val="21"/>
        </w:rPr>
        <w:t>Public : Administrateurs PowerERP, responsables SI, finance, contrôle interne et intégrateurs</w:t>
        <w:br/>
        <w:t>Édition : Août 2026</w:t>
      </w:r>
    </w:p>
    <w:tbl>
      <w:tblPr>
        <w:tblW w:type="dxa" w:w="6000"/>
        <w:jc w:val="left"/>
        <w:tblLayout w:type="fixed"/>
        <w:tblLook w:firstColumn="1" w:firstRow="1" w:lastColumn="0" w:lastRow="0" w:noHBand="0" w:noVBand="1" w:val="04A0"/>
        <w:tblInd w:w="1680" w:type="dxa"/>
      </w:tblPr>
      <w:tblGrid>
        <w:gridCol w:w="6000"/>
      </w:tblGrid>
      <w:tr>
        <w:tc>
          <w:tcPr>
            <w:tcW w:type="dxa" w:w="600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83244"/>
                <w:sz w:val="21"/>
              </w:rPr>
              <w:t>Éditeur et ressource : iPowerWorld</w:t>
              <w:br/>
            </w:r>
            <w:hyperlink r:id="rId12">
              <w:r>
                <w:rPr>
                  <w:color w:val="1971AC"/>
                  <w:u w:val="single"/>
                  <w:rFonts w:ascii="Calibri" w:hAnsi="Calibri"/>
                </w:rPr>
                <w:t>csa@ipowerworld.net</w:t>
              </w:r>
            </w:hyperlink>
          </w:p>
        </w:tc>
      </w:tr>
    </w:tbl>
    <w:p>
      <w:pPr>
        <w:spacing w:before="560"/>
        <w:jc w:val="center"/>
      </w:pPr>
      <w:r>
        <w:rPr>
          <w:rFonts w:ascii="Calibri" w:hAnsi="Calibri" w:eastAsia="Calibri"/>
          <w:b/>
          <w:color w:val="E45510"/>
          <w:sz w:val="17"/>
        </w:rPr>
        <w:t>EMPOWERS YOUR WORLD</w:t>
      </w:r>
    </w:p>
    <w:p>
      <w:r>
        <w:br w:type="page"/>
      </w:r>
    </w:p>
    <w:p>
      <w:pPr>
        <w:pStyle w:val="Heading1"/>
      </w:pPr>
      <w:r>
        <w:t>1. Architecture et responsabilités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Agence est un module externe Dolibarr, installé dans htdocs/custom/agence et activé par entité.</w:t>
      </w:r>
    </w:p>
    <w:p>
      <w:r>
        <w:rPr>
          <w:rFonts w:ascii="Calibri" w:hAnsi="Calibri" w:eastAsia="Calibri"/>
        </w:rPr>
        <w:t>Il n’altère pas le cœur Dolibarr. Les données de vente et de finance restent portées par les objets standards ; les tables llx_sof_* portent le contexte agence, les workflows, les contrôles, les liens et l’audit.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Couche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Composants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Responsabilité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Dolibarr natif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Tiers, produits, commandes, factures, paiements, banque, comptabilité, utilisateurs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Source de vérité commerciale et financière</w:t>
            </w:r>
          </w:p>
        </w:tc>
      </w:tr>
      <w:tr>
        <w:tc>
          <w:tcPr>
            <w:tcW w:type="dxa" w:w="19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Agence</w:t>
            </w:r>
          </w:p>
        </w:tc>
        <w:tc>
          <w:tcPr>
            <w:tcW w:type="dxa" w:w="42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Référentiels, sessions, mouvements, contrôles, validations, liens, audit</w:t>
            </w:r>
          </w:p>
        </w:tc>
        <w:tc>
          <w:tcPr>
            <w:tcW w:type="dxa" w:w="3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Orchestration opérationnelle et contrôle interne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Intégrations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Hooks, triggers, TakePOS, cron, PDF, CSV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Application des règles et restitution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B42318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DECEC"/>
          </w:tcPr>
          <w:p>
            <w:r>
              <w:rPr>
                <w:rFonts w:ascii="Calibri" w:hAnsi="Calibri" w:eastAsia="Calibri"/>
                <w:b/>
                <w:color w:val="283244"/>
              </w:rPr>
              <w:t>Module remplacé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SofOps doit rester désactivé. Ne réactivez pas ses hooks ou triggers en parallèle du module Agence.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Installation et activation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Une réactivation du module applique les évolutions additives de schéma prévues par le descripteur.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Sauvegarder la base de données et le répertoire documents avant toute intervention.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Déployer le dossier agence dans htdocs/custom/agence avec les droits de lecture adaptés au serveur web.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Dans Accueil &gt; Configuration &gt; Modules, désactiver SofOps puis activer Agences SOFITOUL.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Vérifier que les tables llx_sof_* sont présentes et que le menu Agences SOFITOUL s’affiche pour l’administrateur.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Activer ou vérifier les modules Tiers, Produits/Services, Commandes, Factures, Banque/Caisse et Documents ; ajouter TakePOS et Comptabilité s’ils sont utilisés.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Affecter les droits via des groupes, puis configurer l’organisation métier avant d’ouvrir les accès aux caissiers.</w:t>
      </w:r>
    </w:p>
    <w:p>
      <w:pPr>
        <w:pStyle w:val="Heading2"/>
      </w:pPr>
      <w:r>
        <w:t>Ordre de paramétrage recommandé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1. Socle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2. Référentiels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3. Accès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4. Règles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5. Recette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Modules et constantes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Agences, DAS et caisses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Droits et périmètres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Workflows, TakePOS, compta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Flux complet et go-live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E45510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1E8"/>
          </w:tcPr>
          <w:p>
            <w:r>
              <w:rPr>
                <w:rFonts w:ascii="Calibri" w:hAnsi="Calibri" w:eastAsia="Calibri"/>
                <w:b/>
                <w:color w:val="283244"/>
              </w:rPr>
              <w:t>Aucune caisse prête par défaut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L’activation technique ne crée pas votre organisation réelle. Une agence, un DAS, une caisse et ses comptes par mode doivent être configurés avant exploitation.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Paramètres globaux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Menu Agence &gt; Configuration. Les valeurs ci-dessous sont les valeurs par défaut du module ; adaptez-les à la politique validée.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400"/>
        <w:gridCol w:w="1100"/>
        <w:gridCol w:w="48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Constante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Défaut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Effet / recommandation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AGENCE_ENABLE_TRANSVERSAL_SCOPE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Active les périmètres multi-agences ; garder actif si fonctions centrales.</w:t>
            </w:r>
          </w:p>
        </w:tc>
      </w:tr>
      <w:tr>
        <w:tc>
          <w:tcPr>
            <w:tcW w:type="dxa" w:w="34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AGENCE_ENABLE_AUDIT_TRAIL</w:t>
            </w:r>
          </w:p>
        </w:tc>
        <w:tc>
          <w:tcPr>
            <w:tcW w:type="dxa" w:w="1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</w:t>
            </w:r>
          </w:p>
        </w:tc>
        <w:tc>
          <w:tcPr>
            <w:tcW w:type="dxa" w:w="4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Journalise les actions sensibles ; recommandé en production.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AGENCE_ENABLE_REPORTING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Active les tableaux de bord et restitutions.</w:t>
            </w:r>
          </w:p>
        </w:tc>
      </w:tr>
      <w:tr>
        <w:tc>
          <w:tcPr>
            <w:tcW w:type="dxa" w:w="34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AGENCE_REQUIRE_OPEN_SESSION</w:t>
            </w:r>
          </w:p>
        </w:tc>
        <w:tc>
          <w:tcPr>
            <w:tcW w:type="dxa" w:w="1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</w:t>
            </w:r>
          </w:p>
        </w:tc>
        <w:tc>
          <w:tcPr>
            <w:tcW w:type="dxa" w:w="4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Bloque les opérations de caisse sans session ouverte ; ne désactiver qu’en cas documenté.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AGENCE_MAX_SESSION_HOURS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Durée avant alerte de session anormalement longue.</w:t>
            </w:r>
          </w:p>
        </w:tc>
      </w:tr>
      <w:tr>
        <w:tc>
          <w:tcPr>
            <w:tcW w:type="dxa" w:w="34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AGENCE_GAP_MAJOR_AMOUNT</w:t>
            </w:r>
          </w:p>
        </w:tc>
        <w:tc>
          <w:tcPr>
            <w:tcW w:type="dxa" w:w="1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1000</w:t>
            </w:r>
          </w:p>
        </w:tc>
        <w:tc>
          <w:tcPr>
            <w:tcW w:type="dxa" w:w="4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Seuil monétaire d’écart majeur.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AGENCE_GAP_CRITICAL_AMOUNT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10000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Seuil monétaire d’écart critique et d’escalade.</w:t>
            </w:r>
          </w:p>
        </w:tc>
      </w:tr>
      <w:tr>
        <w:tc>
          <w:tcPr>
            <w:tcW w:type="dxa" w:w="34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AGENCE_TAKEPOS_MAX_DISCOUNT_PCT</w:t>
            </w:r>
          </w:p>
        </w:tc>
        <w:tc>
          <w:tcPr>
            <w:tcW w:type="dxa" w:w="1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10</w:t>
            </w:r>
          </w:p>
        </w:tc>
        <w:tc>
          <w:tcPr>
            <w:tcW w:type="dxa" w:w="4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Remise TakePOS au-delà de laquelle une alerte est créée.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AGENCE_DEPOSIT_ALERT_DAYS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Délai avant alerte de dépôt non rapproché.</w:t>
            </w:r>
          </w:p>
        </w:tc>
      </w:tr>
      <w:tr>
        <w:tc>
          <w:tcPr>
            <w:tcW w:type="dxa" w:w="34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AGENCE_CASH_DENOMINATIONS</w:t>
            </w:r>
          </w:p>
        </w:tc>
        <w:tc>
          <w:tcPr>
            <w:tcW w:type="dxa" w:w="1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10000,…,5</w:t>
            </w:r>
          </w:p>
        </w:tc>
        <w:tc>
          <w:tcPr>
            <w:tcW w:type="dxa" w:w="4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Liste des coupures utilisées lors du comptage physique.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AGENCE_ALLOW_SELF_APPROVAL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Autorise l’auto-approbation ; conserver à 0 sauf décision de risque formelle.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Gestion du changement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Documentez toute modification de seuil ou de contrôle : demandeur, approbateur, date d’effet, justification, test et retour arrière.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Référentiels agence et DAS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Les codes doivent être stables, uniques dans l’entité et compréhensibles dans les exports.</w:t>
      </w:r>
    </w:p>
    <w:p>
      <w:pPr>
        <w:pStyle w:val="Heading2"/>
      </w:pPr>
      <w:r>
        <w:t>Agences</w:t>
      </w:r>
    </w:p>
    <w:p>
      <w:pPr>
        <w:pStyle w:val="ListBullet"/>
      </w:pPr>
      <w:r>
        <w:t>Créer une référence courte et durable, un libellé explicite et les informations d’identification nécessaires.</w:t>
      </w:r>
    </w:p>
    <w:p>
      <w:pPr>
        <w:pStyle w:val="ListBullet"/>
      </w:pPr>
      <w:r>
        <w:t>Activer l’agence uniquement lorsque ses caisses, droits et contrôles sont prêts.</w:t>
      </w:r>
    </w:p>
    <w:p>
      <w:pPr>
        <w:pStyle w:val="ListBullet"/>
      </w:pPr>
      <w:r>
        <w:t>Préférer la désactivation à la suppression pour préserver l’historique.</w:t>
      </w:r>
    </w:p>
    <w:p>
      <w:pPr>
        <w:pStyle w:val="Heading2"/>
      </w:pPr>
      <w:r>
        <w:t>DAS / activités</w:t>
      </w:r>
    </w:p>
    <w:p>
      <w:pPr>
        <w:pStyle w:val="ListBullet"/>
      </w:pPr>
      <w:r>
        <w:t>Créer un code et un libellé par domaine d’activité suivi.</w:t>
      </w:r>
    </w:p>
    <w:p>
      <w:pPr>
        <w:pStyle w:val="ListBullet"/>
      </w:pPr>
      <w:r>
        <w:t>Définir les modes de paiement autorisés lorsque l’activité impose une politique spécifique.</w:t>
      </w:r>
    </w:p>
    <w:p>
      <w:pPr>
        <w:pStyle w:val="ListBullet"/>
      </w:pPr>
      <w:r>
        <w:t>Rattacher les produits/services au DAS lorsque la ventilation automatique ou le contrôle des modes est nécessaire.</w:t>
      </w:r>
    </w:p>
    <w:p>
      <w:pPr>
        <w:pStyle w:val="ListBullet"/>
      </w:pPr>
      <w:r>
        <w:t>Tester les factures multi-produits et les exceptions avant généralisation.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Règle de qualité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Contrôle administrateur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Unicité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Aucun doublon de code agence, DAS ou caisse dans l’entité.</w:t>
            </w:r>
          </w:p>
        </w:tc>
      </w:tr>
      <w:tr>
        <w:tc>
          <w:tcPr>
            <w:tcW w:type="dxa" w:w="25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Stabilité</w:t>
            </w:r>
          </w:p>
        </w:tc>
        <w:tc>
          <w:tcPr>
            <w:tcW w:type="dxa" w:w="6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Ne pas recycler une ancienne référence pour un nouvel objet.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Statut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Désactiver ce qui n’est plus utilisé sans perdre l’historique.</w:t>
            </w:r>
          </w:p>
        </w:tc>
      </w:tr>
      <w:tr>
        <w:tc>
          <w:tcPr>
            <w:tcW w:type="dxa" w:w="25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Cohérence</w:t>
            </w:r>
          </w:p>
        </w:tc>
        <w:tc>
          <w:tcPr>
            <w:tcW w:type="dxa" w:w="68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Toute caisse active appartient à une agence active.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Caisses et comptes financiers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La qualité du rapprochement dépend directement du mapping compte/mode de chaque caisse.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Créer la caisse avec une référence stable, un libellé, un type et l’agence de rattachement.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Associer le compte espèces utilisé pour les entrées et sorties de numéraire.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Associer les comptes carte, chèque, mobile et autre si ces modes sont acceptés.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Vérifier que les comptes existent, sont ouverts, accessibles dans l’entité et correspondent à la réalité du rapprochement.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Activer la caisse seulement après test d’ouverture, encaissement, clôture et dépôt.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Compte recommandé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Erreur à éviter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Espèces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 caisse physique dédié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Partager un compte entre caisses sans justification</w:t>
            </w:r>
          </w:p>
        </w:tc>
      </w:tr>
      <w:tr>
        <w:tc>
          <w:tcPr>
            <w:tcW w:type="dxa" w:w="1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Carte</w:t>
            </w:r>
          </w:p>
        </w:tc>
        <w:tc>
          <w:tcPr>
            <w:tcW w:type="dxa" w:w="4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 d’attente/TPE ou compte défini par la finance</w:t>
            </w:r>
          </w:p>
        </w:tc>
        <w:tc>
          <w:tcPr>
            <w:tcW w:type="dxa" w:w="34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Comptabiliser directement comme espèces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Chèque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 de chèques à encaisser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Ignorer la référence du chèque</w:t>
            </w:r>
          </w:p>
        </w:tc>
      </w:tr>
      <w:tr>
        <w:tc>
          <w:tcPr>
            <w:tcW w:type="dxa" w:w="1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Mobile</w:t>
            </w:r>
          </w:p>
        </w:tc>
        <w:tc>
          <w:tcPr>
            <w:tcW w:type="dxa" w:w="4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 par opérateur ou circuit de rapprochement</w:t>
            </w:r>
          </w:p>
        </w:tc>
        <w:tc>
          <w:tcPr>
            <w:tcW w:type="dxa" w:w="34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Mélanger plusieurs opérateurs non réconciliables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Autre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 identifié par la procédure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Utiliser un compte générique sans preuve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77245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EF"/>
          </w:tcPr>
          <w:p>
            <w:r>
              <w:rPr>
                <w:rFonts w:ascii="Calibri" w:hAnsi="Calibri" w:eastAsia="Calibri"/>
                <w:b/>
                <w:color w:val="283244"/>
              </w:rPr>
              <w:t>Contrôle avant activation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Réalisez un encaissement test par chaque mode autorisé et vérifiez le paiement, la ligne financière, le lien agence et le rapport.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Droits, groupes et périmètres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droit autorise une action ; le périmètre limite les agences sur lesquelles elle peut s’exercer.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Groupe recommandé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Droits principaux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Caissier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Lire caisse, ouvrir/clôturer session, encaisser, paiement mixte, acompte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Chef de caisse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Valider clôture, gérer écarts, contrôle, gel, transferts et dépôts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Responsable agence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Référentiels en lecture/écriture selon délégation, validations, supervision et rapports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Crédit / commercial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Différés, BC, BST, instructions et créances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Contrôle / audit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Contrôles, gel, audit trail, tableaux d’audit et export autorisé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Finance / comptabilité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Dépôt, rapprochement, reporting, déversement comptable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Administrateur Agence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Paramètres, workflows, terminaux, périmètres et référentiels</w:t>
            </w:r>
          </w:p>
        </w:tc>
      </w:tr>
    </w:tbl>
    <w:p>
      <w:pPr>
        <w:spacing w:after="0"/>
      </w:pPr>
    </w:p>
    <w:p>
      <w:pPr>
        <w:pStyle w:val="Heading2"/>
      </w:pPr>
      <w:r>
        <w:t>Périmètre local et transversal</w:t>
      </w:r>
    </w:p>
    <w:p>
      <w:pPr>
        <w:pStyle w:val="ListBullet"/>
      </w:pPr>
      <w:r>
        <w:t>Affecter chaque utilisateur opérationnel à son agence ou à la liste d’agences requise.</w:t>
      </w:r>
    </w:p>
    <w:p>
      <w:pPr>
        <w:pStyle w:val="ListBullet"/>
      </w:pPr>
      <w:r>
        <w:t>Créer un rôle transversal uniquement pour une fonction centrale justifiée : direction, contrôle, finance ou administration.</w:t>
      </w:r>
    </w:p>
    <w:p>
      <w:pPr>
        <w:pStyle w:val="ListBullet"/>
      </w:pPr>
      <w:r>
        <w:t>Réviser trimestriellement les droits et immédiatement lors d’une mobilité ou d’un départ.</w:t>
      </w:r>
    </w:p>
    <w:p>
      <w:pPr>
        <w:pStyle w:val="ListBullet"/>
      </w:pPr>
      <w:r>
        <w:t>Tester avec un compte non administrateur : les administrateurs globaux peuvent masquer un défaut de paramétrage.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E45510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1E8"/>
          </w:tcPr>
          <w:p>
            <w:r>
              <w:rPr>
                <w:rFonts w:ascii="Calibri" w:hAnsi="Calibri" w:eastAsia="Calibri"/>
                <w:b/>
                <w:color w:val="283244"/>
              </w:rPr>
              <w:t>Séparation des tâches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Évitez de cumuler demande, validation et exécution d’un remboursement, ou encaissement et validation finale de clôture. Maintenez l’auto-approbation désactivée.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Catalogue des droits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descripteur expose 35 droits fins. Accordez-les par groupes ; évitez les attributions individuelles non documentées.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Domaine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Actions disponibles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Agences / caisses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Lire ; créer, modifier, désactiver</w:t>
            </w:r>
          </w:p>
        </w:tc>
      </w:tr>
      <w:tr>
        <w:tc>
          <w:tcPr>
            <w:tcW w:type="dxa" w:w="2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Sessions</w:t>
            </w:r>
          </w:p>
        </w:tc>
        <w:tc>
          <w:tcPr>
            <w:tcW w:type="dxa" w:w="7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Ouvrir ; clôturer ; valider une clôture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Mouvements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Encaissement ; paiement mixte</w:t>
            </w:r>
          </w:p>
        </w:tc>
      </w:tr>
      <w:tr>
        <w:tc>
          <w:tcPr>
            <w:tcW w:type="dxa" w:w="2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Crédit</w:t>
            </w:r>
          </w:p>
        </w:tc>
        <w:tc>
          <w:tcPr>
            <w:tcW w:type="dxa" w:w="7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Créer/valider différé ; BC client ; BST ; instruction managériale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Remboursement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Demander ; valider ; exécuter</w:t>
            </w:r>
          </w:p>
        </w:tc>
      </w:tr>
      <w:tr>
        <w:tc>
          <w:tcPr>
            <w:tcW w:type="dxa" w:w="2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Avoir</w:t>
            </w:r>
          </w:p>
        </w:tc>
        <w:tc>
          <w:tcPr>
            <w:tcW w:type="dxa" w:w="7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Créer le suivi ; valider ; utiliser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Contrôle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Gérer écarts ; contrôle inopiné ; gel de caisse</w:t>
            </w:r>
          </w:p>
        </w:tc>
      </w:tr>
      <w:tr>
        <w:tc>
          <w:tcPr>
            <w:tcW w:type="dxa" w:w="2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Trésorerie</w:t>
            </w:r>
          </w:p>
        </w:tc>
        <w:tc>
          <w:tcPr>
            <w:tcW w:type="dxa" w:w="7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Transfert coffre ; dépôt banque ; rapprochement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Finance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Déverser en comptabilité ; lire/exporter rapports</w:t>
            </w:r>
          </w:p>
        </w:tc>
      </w:tr>
      <w:tr>
        <w:tc>
          <w:tcPr>
            <w:tcW w:type="dxa" w:w="21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Pilotage</w:t>
            </w:r>
          </w:p>
        </w:tc>
        <w:tc>
          <w:tcPr>
            <w:tcW w:type="dxa" w:w="72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Tableau direction ; tableau audit ; périmètres transversaux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Administration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Paramètres ; audit trail ; workflows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Workflows et validations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Les règles déterminent les étapes applicables à une clôture, un différé, un remboursement ou une pièce d’autorisation.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Ouvrir Workflows et validations avec le droit Administrer les workflows.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Créer une règle par type d’objet, périmètre et plage de montant lorsque les circuits diffèrent.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Ordonner les étapes du niveau le plus opérationnel vers le niveau final.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Affecter chaque étape à un rôle ou utilisateur réellement présent dans le périmètre.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Tester approbation, rejet, absence de valideur et interdiction d’auto-approbation.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Activer la règle après recette et désactiver proprement la règle remplacée.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Objet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Circuit indicatif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Clôture normale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Chef de caisse → Responsable d’agence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Écart critique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Chef de caisse → Responsable → Contrôle/DAF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Paiement différé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Responsable commercial → Crédit/Finance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Remboursement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Responsable d’agence → Finance ; exécution par un rôle distinct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BC / BST / instruction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Manager habilité → Finance ou Direction selon seuil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Continuité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Prévoyez la suppléance des valideurs. Une règle sans utilisateur éligible bloque le processus même si le paramétrage technique est valide.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TakePOS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L’affectation terminal fixe le contexte canonique agence/caisse/DAS pour les ventes POS.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Ouvrir Affectation des terminaux TakePOS.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Saisir la référence exacte du terminal (caractères alphanumériques, point, tiret, deux-points ou underscore).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Choisir l’agence, une caisse active de cette agence et éventuellement le DAS.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Enregistrer puis désactiver toute ancienne affectation devenue obsolète.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Ouvrir une session de la caisse et réaliser une vente test avec chaque mode prévu.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Vérifier le lien facture/paiement, le contexte de session, l’alerte de remise et la contrepassation d’une annulation test.</w:t>
      </w:r>
    </w:p>
    <w:p>
      <w:pPr>
        <w:pStyle w:val="ListBullet"/>
      </w:pPr>
      <w:r>
        <w:t>Une vente est bloquée côté serveur sans session ouverte lorsque AGENCE_REQUIRE_OPEN_SESSION = 1.</w:t>
      </w:r>
    </w:p>
    <w:p>
      <w:pPr>
        <w:pStyle w:val="ListBullet"/>
      </w:pPr>
      <w:r>
        <w:t>Une seule affectation active doit exister par référence terminal.</w:t>
      </w:r>
    </w:p>
    <w:p>
      <w:pPr>
        <w:pStyle w:val="ListBullet"/>
      </w:pPr>
      <w:r>
        <w:t>Les annulations créent des contrepassations de manière idempotente afin d’éviter les doublons.</w:t>
      </w:r>
    </w:p>
    <w:p>
      <w:r>
        <w:br w:type="page"/>
      </w:r>
    </w:p>
    <w:p>
      <w:pPr>
        <w:pStyle w:val="Heading1"/>
      </w:pPr>
      <w:r>
        <w:t>10. Comptabilité et banque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module distingue les objets natifs déjà comptabilisés et les lignes opérationnelles nécessitant un mapping.</w:t>
      </w:r>
    </w:p>
    <w:p>
      <w:pPr>
        <w:pStyle w:val="Heading2"/>
      </w:pPr>
      <w:r>
        <w:t>Mappings comptables</w:t>
      </w:r>
    </w:p>
    <w:p>
      <w:pPr>
        <w:pStyle w:val="ListBullet"/>
      </w:pPr>
      <w:r>
        <w:t>Définir les comptes et journaux pour les types d’opérations non couverts directement par un objet natif.</w:t>
      </w:r>
    </w:p>
    <w:p>
      <w:pPr>
        <w:pStyle w:val="ListBullet"/>
      </w:pPr>
      <w:r>
        <w:t>Limiter les mappings actifs à une règle non ambiguë par contexte et période.</w:t>
      </w:r>
    </w:p>
    <w:p>
      <w:pPr>
        <w:pStyle w:val="ListBullet"/>
      </w:pPr>
      <w:r>
        <w:t>Valider les comptes avec la DAF et tester les écritures en environnement de recette.</w:t>
      </w:r>
    </w:p>
    <w:p>
      <w:pPr>
        <w:pStyle w:val="Heading2"/>
      </w:pPr>
      <w:r>
        <w:t>Déversement comptable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Ouvrir Déversement comptable Agence avec le droit Déverser en comptabilité.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Traiter uniquement les sessions clôturées et validées affichées.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Vérifier agence, caisse, date, écart et mappings avant l’action.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Déverser, puis contrôler le statut et les écritures dans le module Comptabilité.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Ne pas relancer aveuglément après une erreur : vérifier d’abord si des écritures ont été générées.</w:t>
      </w:r>
    </w:p>
    <w:p>
      <w:pPr>
        <w:pStyle w:val="Heading2"/>
      </w:pPr>
      <w:r>
        <w:t>Rapprochement banque</w:t>
      </w:r>
    </w:p>
    <w:p>
      <w:r>
        <w:rPr>
          <w:rFonts w:ascii="Calibri" w:hAnsi="Calibri" w:eastAsia="Calibri"/>
        </w:rPr>
        <w:t>Le rapprochement lie un dépôt Agence à une ligne bancaire native du même compte et du montant attendu. Le module contrôle qu’une ligne ne soit pas utilisée pour un autre dépôt incompatible.</w:t>
      </w:r>
    </w:p>
    <w:p>
      <w:r>
        <w:br w:type="page"/>
      </w:r>
    </w:p>
    <w:p>
      <w:pPr>
        <w:pStyle w:val="Heading1"/>
      </w:pPr>
      <w:r>
        <w:t>11. Alertes, reporting et documents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job automatique DetectAgencyOperationalAlerts doit être actif dans les travaux planifiés Dolibarr.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Alerte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Déclencheur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Session non clôturée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Durée supérieure à AGENCE_MAX_SESSION_HOURS</w:t>
            </w:r>
          </w:p>
        </w:tc>
      </w:tr>
      <w:tr>
        <w:tc>
          <w:tcPr>
            <w:tcW w:type="dxa" w:w="30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Paiement différé en retard</w:t>
            </w:r>
          </w:p>
        </w:tc>
        <w:tc>
          <w:tcPr>
            <w:tcW w:type="dxa" w:w="63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Échéance dépassée et solde restant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Dépôt non rapproché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Délai supérieur à AGENCE_DEPOSIT_ALERT_DAYS</w:t>
            </w:r>
          </w:p>
        </w:tc>
      </w:tr>
      <w:tr>
        <w:tc>
          <w:tcPr>
            <w:tcW w:type="dxa" w:w="30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Écart critique</w:t>
            </w:r>
          </w:p>
        </w:tc>
        <w:tc>
          <w:tcPr>
            <w:tcW w:type="dxa" w:w="63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Montant d’écart au-delà du seuil configuré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Remise TakePOS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Pourcentage supérieur au maximum autorisé</w:t>
            </w:r>
          </w:p>
        </w:tc>
      </w:tr>
    </w:tbl>
    <w:p>
      <w:pPr>
        <w:spacing w:after="0"/>
      </w:pPr>
    </w:p>
    <w:p>
      <w:pPr>
        <w:pStyle w:val="ListBullet"/>
      </w:pPr>
      <w:r>
        <w:t>Fréquence déclarée : toutes les 3 600 secondes (horaire), sous réserve du moteur cron Dolibarr.</w:t>
      </w:r>
    </w:p>
    <w:p>
      <w:pPr>
        <w:pStyle w:val="ListBullet"/>
      </w:pPr>
      <w:r>
        <w:t>Surveiller l’historique d’exécution, les erreurs, la durée et la création effective des alertes.</w:t>
      </w:r>
    </w:p>
    <w:p>
      <w:pPr>
        <w:pStyle w:val="ListBullet"/>
      </w:pPr>
      <w:r>
        <w:t>Activer le reporting et accorder séparément lecture et export.</w:t>
      </w:r>
    </w:p>
    <w:p>
      <w:pPr>
        <w:pStyle w:val="ListBullet"/>
      </w:pPr>
      <w:r>
        <w:t>Définir une politique de conservation et de confidentialité pour CSV et PDF générés.</w:t>
      </w:r>
    </w:p>
    <w:p>
      <w:r>
        <w:br w:type="page"/>
      </w:r>
    </w:p>
    <w:p>
      <w:pPr>
        <w:pStyle w:val="Heading1"/>
      </w:pPr>
      <w:r>
        <w:t>12. Sécurité, audit et données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L’administration doit préserver le principe du moindre privilège et la preuve des actions.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Mesure attendue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Authentification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Comptes nominatifs, mots de passe/SSO selon politique, suppression rapide des accès</w:t>
            </w:r>
          </w:p>
        </w:tc>
      </w:tr>
      <w:tr>
        <w:tc>
          <w:tcPr>
            <w:tcW w:type="dxa" w:w="22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Autorisation</w:t>
            </w:r>
          </w:p>
        </w:tc>
        <w:tc>
          <w:tcPr>
            <w:tcW w:type="dxa" w:w="71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Droits par groupes, périmètres vérifiés, tests avec comptes représentatifs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Validation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Auto-approbation désactivée et séparation demande/validation/exécution</w:t>
            </w:r>
          </w:p>
        </w:tc>
      </w:tr>
      <w:tr>
        <w:tc>
          <w:tcPr>
            <w:tcW w:type="dxa" w:w="22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Traçabilité</w:t>
            </w:r>
          </w:p>
        </w:tc>
        <w:tc>
          <w:tcPr>
            <w:tcW w:type="dxa" w:w="71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Audit activé, horodatage système fiable et consultation limitée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Intégrité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Pas de modification directe en base ; corrections via parcours applicatifs</w:t>
            </w:r>
          </w:p>
        </w:tc>
      </w:tr>
      <w:tr>
        <w:tc>
          <w:tcPr>
            <w:tcW w:type="dxa" w:w="22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Confidentialité</w:t>
            </w:r>
          </w:p>
        </w:tc>
        <w:tc>
          <w:tcPr>
            <w:tcW w:type="dxa" w:w="71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Exports et documents protégés, accès aux répertoires contrôlé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Disponibilité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Sauvegardes, supervision cron, procédure de reprise et test de restauration</w:t>
            </w:r>
          </w:p>
        </w:tc>
      </w:tr>
    </w:tbl>
    <w:p>
      <w:pPr>
        <w:spacing w:after="0"/>
      </w:pPr>
    </w:p>
    <w:p>
      <w:pPr>
        <w:pStyle w:val="Heading2"/>
      </w:pPr>
      <w:r>
        <w:t>Principales familles de tables</w:t>
      </w:r>
    </w:p>
    <w:p>
      <w:pPr>
        <w:pStyle w:val="ListBullet"/>
      </w:pPr>
      <w:r>
        <w:t>Référentiels : sof_agence, sof_das, sof_caisse, affectations utilisateurs et rôles transversaux.</w:t>
      </w:r>
    </w:p>
    <w:p>
      <w:pPr>
        <w:pStyle w:val="ListBullet"/>
      </w:pPr>
      <w:r>
        <w:t>Opérations : sessions, mouvements, comptages, clôtures, écarts, contrôles, transferts et dépôts.</w:t>
      </w:r>
    </w:p>
    <w:p>
      <w:pPr>
        <w:pStyle w:val="ListBullet"/>
      </w:pPr>
      <w:r>
        <w:t>Crédit/exception : différés, BC, BST, instructions, remboursements et suivi d’avoirs.</w:t>
      </w:r>
    </w:p>
    <w:p>
      <w:pPr>
        <w:pStyle w:val="ListBullet"/>
      </w:pPr>
      <w:r>
        <w:t>Intégration : liens facture, paiement, commande, TakePOS, banque et produit/DAS.</w:t>
      </w:r>
    </w:p>
    <w:p>
      <w:pPr>
        <w:pStyle w:val="ListBullet"/>
      </w:pPr>
      <w:r>
        <w:t>Gouvernance : validations, workflows, alertes, mappings comptables et journal d’audit.</w:t>
      </w:r>
    </w:p>
    <w:p>
      <w:r>
        <w:br w:type="page"/>
      </w:r>
    </w:p>
    <w:p>
      <w:pPr>
        <w:pStyle w:val="Heading1"/>
      </w:pPr>
      <w:r>
        <w:t>13. Tests, maintenance et sauvegarde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Toute mise à jour doit passer par une recette reproductible avant production.</w:t>
      </w:r>
    </w:p>
    <w:p>
      <w:pPr>
        <w:pStyle w:val="Heading2"/>
      </w:pPr>
      <w:r>
        <w:t>Tests fournis</w:t>
      </w:r>
    </w:p>
    <w:p>
      <w:r>
        <w:rPr>
          <w:rFonts w:ascii="Calibri" w:hAnsi="Calibri" w:eastAsia="Calibri"/>
        </w:rPr>
        <w:t>Depuis htdocs/custom/agence/test, exécuter avec le PHP de l’instance 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Commandes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php quick_check.php</w:t>
              <w:br/>
              <w:t>php operational_check.php</w:t>
            </w:r>
          </w:p>
        </w:tc>
      </w:tr>
    </w:tbl>
    <w:p>
      <w:pPr>
        <w:spacing w:after="0"/>
      </w:pPr>
    </w:p>
    <w:p>
      <w:pPr>
        <w:pStyle w:val="ListBullet"/>
      </w:pPr>
      <w:r>
        <w:t>quick_check.php vérifie le descripteur, les droits, menus, classes, modèle PDF, registre CRUD, SQL et tables installées.</w:t>
      </w:r>
    </w:p>
    <w:p>
      <w:pPr>
        <w:pStyle w:val="ListBullet"/>
      </w:pPr>
      <w:r>
        <w:t>operational_check.php exécute une recette dans une transaction PostgreSQL et annule ses données de test en fin d’exécution.</w:t>
      </w:r>
    </w:p>
    <w:p>
      <w:pPr>
        <w:pStyle w:val="ListBullet"/>
      </w:pPr>
      <w:r>
        <w:t>Compléter par la recette manuelle : paiements multi-modes, TakePOS, clôture/validation, différé, remboursement, dépôt, rapprochement, reporting et audit.</w:t>
      </w:r>
    </w:p>
    <w:p>
      <w:r>
        <w:br w:type="page"/>
      </w:r>
    </w:p>
    <w:p>
      <w:pPr>
        <w:pStyle w:val="Heading2"/>
      </w:pPr>
      <w:r>
        <w:t>Sauvegarde et restauration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Sauvegarder la base complète, pas uniquement les tables llx_sof_* : les liens pointent vers des objets natifs.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Sauvegarder le répertoire documents Dolibarr et la version exacte du code du module.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Tester régulièrement une restauration sur un environnement isolé.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Après restauration, vérifier les séquences, les liens, les cron jobs et les fichiers générés.</w:t>
      </w:r>
    </w:p>
    <w:p>
      <w:pPr>
        <w:pStyle w:val="Heading2"/>
      </w:pPr>
      <w:r>
        <w:t>Montée de version</w:t>
      </w:r>
    </w:p>
    <w:p>
      <w:pPr>
        <w:pStyle w:val="ListBullet"/>
      </w:pPr>
      <w:r>
        <w:t>Lire les notes de version et comparer les constantes, droits, SQL et traductions.</w:t>
      </w:r>
    </w:p>
    <w:p>
      <w:pPr>
        <w:pStyle w:val="ListBullet"/>
      </w:pPr>
      <w:r>
        <w:t>Sauvegarder, déployer, réactiver si requis, lancer les tests et contrôler les logs.</w:t>
      </w:r>
    </w:p>
    <w:p>
      <w:pPr>
        <w:pStyle w:val="ListBullet"/>
      </w:pPr>
      <w:r>
        <w:t>Prévoir un plan de retour arrière cohérent entre code, base et documents.</w:t>
      </w:r>
    </w:p>
    <w:p>
      <w:r>
        <w:br w:type="page"/>
      </w:r>
    </w:p>
    <w:p>
      <w:pPr>
        <w:pStyle w:val="Heading1"/>
      </w:pPr>
      <w:r>
        <w:t>14. Mise en production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go-live est une décision métier, financière et technique conjointe.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Domaine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Critère de sortie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Modules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 actif ; SofOps désactivé ; dépendances disponibles</w:t>
            </w:r>
          </w:p>
        </w:tc>
      </w:tr>
      <w:tr>
        <w:tc>
          <w:tcPr>
            <w:tcW w:type="dxa" w:w="2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Référentiels</w:t>
            </w:r>
          </w:p>
        </w:tc>
        <w:tc>
          <w:tcPr>
            <w:tcW w:type="dxa" w:w="7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Agences, DAS, produits et caisses validés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Finance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Comptes par mode et mappings comptables approuvés</w:t>
            </w:r>
          </w:p>
        </w:tc>
      </w:tr>
      <w:tr>
        <w:tc>
          <w:tcPr>
            <w:tcW w:type="dxa" w:w="2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Accès</w:t>
            </w:r>
          </w:p>
        </w:tc>
        <w:tc>
          <w:tcPr>
            <w:tcW w:type="dxa" w:w="7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Groupes, droits, périmètres et suppléances testés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Workflows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Circuits et seuils testés, y compris rejets et absences</w:t>
            </w:r>
          </w:p>
        </w:tc>
      </w:tr>
      <w:tr>
        <w:tc>
          <w:tcPr>
            <w:tcW w:type="dxa" w:w="2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TakePOS</w:t>
            </w:r>
          </w:p>
        </w:tc>
        <w:tc>
          <w:tcPr>
            <w:tcW w:type="dxa" w:w="7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Chaque terminal associé ; blocage sans session et annulation testés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Contrôle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Écarts, gel, coffre, dépôts et alertes vérifiés</w:t>
            </w:r>
          </w:p>
        </w:tc>
      </w:tr>
      <w:tr>
        <w:tc>
          <w:tcPr>
            <w:tcW w:type="dxa" w:w="2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Restitution</w:t>
            </w:r>
          </w:p>
        </w:tc>
        <w:tc>
          <w:tcPr>
            <w:tcW w:type="dxa" w:w="7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Rapports, CSV, PDF, audit et comptabilité contrôlés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Exploitation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Sauvegarde, restauration, supervision cron et support organisés</w:t>
            </w:r>
          </w:p>
        </w:tc>
      </w:tr>
      <w:tr>
        <w:tc>
          <w:tcPr>
            <w:tcW w:type="dxa" w:w="23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Formation</w:t>
            </w:r>
          </w:p>
        </w:tc>
        <w:tc>
          <w:tcPr>
            <w:tcW w:type="dxa" w:w="7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Caissiers, valideurs, finance et administrateurs formés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77245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EF"/>
          </w:tcPr>
          <w:p>
            <w:r>
              <w:rPr>
                <w:rFonts w:ascii="Calibri" w:hAnsi="Calibri" w:eastAsia="Calibri"/>
                <w:b/>
                <w:color w:val="283244"/>
              </w:rPr>
              <w:t>Pilote recommandé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Commencez par une agence et une caisse représentatives, exécutez au moins une clôture complète et un rapprochement bancaire, puis étendez progressivement.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Diagnostic et assistance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Commencez par identifier le niveau : accès, référentiel, règle, session, intégration native ou tâche planifiée.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Incident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Diagnostic administrateur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Page/table absente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Version déployée, activation/réactivation, SQL et préfixe de base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Accès refusé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Droit exact, groupe, entité, périmètre et statut de l’objet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Encaissement échoue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Session, gel, facture, DAS, modes, comptes et transaction Dolibarr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Workflow bloqué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Règle active, étapes, rôle/utilisateur, seuil et auto-approbation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TakePOS non rattaché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Référence terminal, affectation active, caisse/agence et session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Dépôt non rapprochable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Compte, montant, ligne banque, entité et lien déjà utilisé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Alerte absente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Cron Dolibarr, job actif, fréquence, seuil, date et logs</w:t>
            </w:r>
          </w:p>
        </w:tc>
      </w:tr>
      <w:tr>
        <w:tc>
          <w:tcPr>
            <w:tcW w:type="dxa" w:w="26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Comptabilité échoue</w:t>
            </w:r>
          </w:p>
        </w:tc>
        <w:tc>
          <w:tcPr>
            <w:tcW w:type="dxa" w:w="67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Module actif, session validée, mapping, compte/journal et doublon</w:t>
            </w:r>
          </w:p>
        </w:tc>
      </w:tr>
    </w:tbl>
    <w:p>
      <w:pPr>
        <w:spacing w:after="0"/>
      </w:pPr>
    </w:p>
    <w:p>
      <w:pPr>
        <w:pStyle w:val="Heading2"/>
      </w:pPr>
      <w:r>
        <w:t>Dossier de support minimal</w:t>
      </w:r>
    </w:p>
    <w:p>
      <w:pPr>
        <w:pStyle w:val="ListBullet"/>
      </w:pPr>
      <w:r>
        <w:t>Version PowerERP/Dolibarr et version du module Agence.</w:t>
      </w:r>
    </w:p>
    <w:p>
      <w:pPr>
        <w:pStyle w:val="ListBullet"/>
      </w:pPr>
      <w:r>
        <w:t>Entité, agence, caisse, utilisateur/roles et référence de l’objet.</w:t>
      </w:r>
    </w:p>
    <w:p>
      <w:pPr>
        <w:pStyle w:val="ListBullet"/>
      </w:pPr>
      <w:r>
        <w:t>Date/heure, étapes de reproduction, résultat attendu et message exact.</w:t>
      </w:r>
    </w:p>
    <w:p>
      <w:pPr>
        <w:pStyle w:val="ListBullet"/>
      </w:pPr>
      <w:r>
        <w:t>Extraits de logs ciblés, capture et résultat de quick_check.php si pertinent.</w:t>
      </w:r>
    </w:p>
    <w:p>
      <w:pPr>
        <w:pStyle w:val="ListBullet"/>
      </w:pPr>
      <w:r>
        <w:t>Précision sur l’environnement : production, recette ou développement.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Assistance iPowerWorld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Pour une question fonctionnelle, une anomalie ou un besoin de paramétrage, indiquez votre entité, l’agence, la caisse, la référence de l’objet concerné et une capture du message. Contact : csa@ipowerworld.net.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300"/>
      <w:gridCol w:w="4260"/>
      <w:gridCol w:w="1800"/>
    </w:tblGrid>
    <w:tr>
      <w:tc>
        <w:tcPr>
          <w:tcW w:type="dxa" w:w="330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r>
            <w:rPr>
              <w:rFonts w:ascii="Calibri" w:hAnsi="Calibri" w:eastAsia="Calibri"/>
              <w:color w:val="6B7280"/>
              <w:sz w:val="17"/>
            </w:rPr>
            <w:t>PowerERP · Agence 2.0.0</w:t>
          </w:r>
        </w:p>
      </w:tc>
      <w:tc>
        <w:tcPr>
          <w:tcW w:type="dxa" w:w="426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center"/>
          </w:pPr>
          <w:hyperlink r:id="rId1">
            <w:r>
              <w:rPr>
                <w:color w:val="1971AC"/>
                <w:rFonts w:ascii="Calibri" w:hAnsi="Calibri"/>
              </w:rPr>
              <w:t>csa@ipowerworld.net</w:t>
            </w:r>
          </w:hyperlink>
        </w:p>
      </w:tc>
      <w:tc>
        <w:tcPr>
          <w:tcW w:type="dxa" w:w="180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color w:val="6B7280"/>
              <w:sz w:val="17"/>
            </w:rPr>
            <w:t xml:space="preserve">Page </w:t>
          </w:r>
          <w:r>
            <w:rPr>
              <w:rFonts w:ascii="Calibri" w:hAnsi="Calibri" w:eastAsia="Calibri"/>
              <w:color w:val="6B7280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2100"/>
      <w:gridCol w:w="7260"/>
    </w:tblGrid>
    <w:tr>
      <w:tc>
        <w:tcPr>
          <w:tcW w:type="dxa" w:w="2100"/>
          <w:tcMar>
            <w:top w:w="0" w:type="dxa"/>
            <w:start w:w="0" w:type="dxa"/>
            <w:bottom w:w="30" w:type="dxa"/>
            <w:end w:w="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234440" cy="4362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powerwor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4362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60"/>
          <w:tcMar>
            <w:top w:w="0" w:type="dxa"/>
            <w:start w:w="0" w:type="dxa"/>
            <w:bottom w:w="3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b/>
              <w:color w:val="283244"/>
              <w:sz w:val="17"/>
            </w:rPr>
            <w:t>Manuel administrateur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Calibri"/>
      <w:color w:val="30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8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971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8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2832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1971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color w:val="3034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color w:val="3034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csa@ipowerworld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sa@ipowerworld.ne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administrateur du module Agence</dc:title>
  <dc:subject>Administration, sécurité et exploitation du module Agence de PowerERP</dc:subject>
  <dc:creator>iPowerWorld</dc:creator>
  <cp:keywords>PowerERP, Agence, Dolibarr, iPowerWorld, caisse, contrôle, finance</cp:keywords>
  <dc:description>PowerERP — Module Agence 2.0.0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