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4572000" cy="2427732"/>
            <wp:docPr id="1" name="Picture 1"/>
            <wp:cNvGraphicFramePr>
              <a:graphicFrameLocks noChangeAspect="1"/>
            </wp:cNvGraphicFramePr>
            <a:graphic>
              <a:graphicData uri="http://schemas.openxmlformats.org/drawingml/2006/picture">
                <pic:pic>
                  <pic:nvPicPr>
                    <pic:cNvPr id="0" name="dragonos.jpg"/>
                    <pic:cNvPicPr/>
                  </pic:nvPicPr>
                  <pic:blipFill>
                    <a:blip r:embed="rId9"/>
                    <a:stretch>
                      <a:fillRect/>
                    </a:stretch>
                  </pic:blipFill>
                  <pic:spPr>
                    <a:xfrm>
                      <a:off x="0" y="0"/>
                      <a:ext cx="4572000" cy="2427732"/>
                    </a:xfrm>
                    <a:prstGeom prst="rect"/>
                  </pic:spPr>
                </pic:pic>
              </a:graphicData>
            </a:graphic>
          </wp:inline>
        </w:drawing>
      </w:r>
    </w:p>
    <w:p>
      <w:pPr>
        <w:jc w:val="center"/>
      </w:pPr>
      <w:r>
        <w:rPr>
          <w:b/>
          <w:sz w:val="40"/>
        </w:rPr>
        <w:t>AIGC检测报告</w:t>
      </w:r>
    </w:p>
    <w:p>
      <w:r>
        <w:rPr>
          <w:b/>
          <w:sz w:val="28"/>
        </w:rPr>
        <w:t>AIGC检测结果</w:t>
      </w:r>
    </w:p>
    <w:tbl>
      <w:tblPr>
        <w:tblStyle w:val="TableGrid"/>
        <w:tblW w:type="auto" w:w="0"/>
        <w:jc w:val="center"/>
        <w:tblLayout w:type="fixed"/>
        <w:tblLook w:firstColumn="1" w:firstRow="1" w:lastColumn="0" w:lastRow="0" w:noHBand="0" w:noVBand="1" w:val="04A0"/>
      </w:tblPr>
      <w:tblGrid>
        <w:gridCol w:w="1728"/>
        <w:gridCol w:w="1728"/>
        <w:gridCol w:w="1728"/>
        <w:gridCol w:w="1728"/>
        <w:gridCol w:w="1728"/>
      </w:tblGrid>
      <w:tr>
        <w:tc>
          <w:tcPr>
            <w:tcW w:type="dxa" w:w="1728"/>
            <w:vAlign w:val="center"/>
          </w:tcPr>
          <w:p>
            <w:pPr>
              <w:jc w:val="center"/>
            </w:pPr>
            <w:r>
              <w:t>检测字符数</w:t>
            </w:r>
          </w:p>
        </w:tc>
        <w:tc>
          <w:tcPr>
            <w:tcW w:type="dxa" w:w="1728"/>
            <w:vAlign w:val="center"/>
          </w:tcPr>
          <w:p>
            <w:pPr>
              <w:jc w:val="center"/>
            </w:pPr>
            <w:r>
              <w:t>人工书写字数</w:t>
            </w:r>
          </w:p>
        </w:tc>
        <w:tc>
          <w:tcPr>
            <w:tcW w:type="dxa" w:w="1728"/>
            <w:vAlign w:val="center"/>
          </w:tcPr>
          <w:p>
            <w:pPr>
              <w:jc w:val="center"/>
            </w:pPr>
            <w:r>
              <w:t>人工占比</w:t>
            </w:r>
          </w:p>
        </w:tc>
        <w:tc>
          <w:tcPr>
            <w:tcW w:type="dxa" w:w="1728"/>
            <w:vAlign w:val="center"/>
          </w:tcPr>
          <w:p>
            <w:pPr>
              <w:jc w:val="center"/>
            </w:pPr>
            <w:r>
              <w:t>疑似AI生成字数</w:t>
            </w:r>
          </w:p>
        </w:tc>
        <w:tc>
          <w:tcPr>
            <w:tcW w:type="dxa" w:w="1728"/>
            <w:vAlign w:val="center"/>
          </w:tcPr>
          <w:p>
            <w:pPr>
              <w:jc w:val="center"/>
            </w:pPr>
            <w:r>
              <w:t>疑似AIGC全文占比</w:t>
            </w:r>
          </w:p>
        </w:tc>
      </w:tr>
      <w:tr>
        <w:tc>
          <w:tcPr>
            <w:tcW w:type="dxa" w:w="1728"/>
            <w:vAlign w:val="center"/>
          </w:tcPr>
          <w:p>
            <w:pPr>
              <w:jc w:val="center"/>
            </w:pPr>
            <w:r>
              <w:t>559</w:t>
            </w:r>
          </w:p>
        </w:tc>
        <w:tc>
          <w:tcPr>
            <w:tcW w:type="dxa" w:w="1728"/>
            <w:vAlign w:val="center"/>
          </w:tcPr>
          <w:p>
            <w:pPr>
              <w:jc w:val="center"/>
            </w:pPr>
            <w:r>
              <w:t>321</w:t>
            </w:r>
          </w:p>
        </w:tc>
        <w:tc>
          <w:tcPr>
            <w:tcW w:type="dxa" w:w="1728"/>
            <w:vAlign w:val="center"/>
          </w:tcPr>
          <w:p>
            <w:pPr>
              <w:jc w:val="center"/>
            </w:pPr>
            <w:r>
              <w:t>57.42%</w:t>
            </w:r>
          </w:p>
        </w:tc>
        <w:tc>
          <w:tcPr>
            <w:tcW w:type="dxa" w:w="1728"/>
            <w:vAlign w:val="center"/>
          </w:tcPr>
          <w:p>
            <w:pPr>
              <w:jc w:val="center"/>
            </w:pPr>
            <w:r>
              <w:t>238</w:t>
            </w:r>
          </w:p>
        </w:tc>
        <w:tc>
          <w:tcPr>
            <w:tcW w:type="dxa" w:w="1728"/>
            <w:vAlign w:val="center"/>
          </w:tcPr>
          <w:p>
            <w:pPr>
              <w:jc w:val="center"/>
            </w:pPr>
            <w:r>
              <w:t>42.58%</w:t>
            </w:r>
          </w:p>
        </w:tc>
      </w:tr>
    </w:tbl>
    <w:p/>
    <w:p>
      <w:r>
        <w:rPr>
          <w:b/>
          <w:sz w:val="28"/>
        </w:rPr>
        <w:t>疑似AIGC程度分布</w:t>
      </w:r>
    </w:p>
    <w:tbl>
      <w:tblPr>
        <w:tblStyle w:val="TableGrid"/>
        <w:tblW w:type="auto" w:w="0"/>
        <w:jc w:val="center"/>
        <w:tblLook w:firstColumn="1" w:firstRow="1" w:lastColumn="0" w:lastRow="0" w:noHBand="0" w:noVBand="1" w:val="04A0"/>
      </w:tblPr>
      <w:tblGrid>
        <w:gridCol w:w="1400"/>
        <w:gridCol w:w="1400"/>
        <w:gridCol w:w="1400"/>
        <w:gridCol w:w="1400"/>
        <w:gridCol w:w="1400"/>
      </w:tblGrid>
      <w:tr>
        <w:tc>
          <w:tcPr>
            <w:tcW w:type="dxa" w:w="1728"/>
            <w:vAlign w:val="center"/>
          </w:tcPr>
          <w:p>
            <w:pPr>
              <w:jc w:val="center"/>
            </w:pPr>
            <w:r>
              <w:t>序号</w:t>
            </w:r>
          </w:p>
        </w:tc>
        <w:tc>
          <w:tcPr>
            <w:tcW w:type="dxa" w:w="1728"/>
            <w:vAlign w:val="center"/>
          </w:tcPr>
          <w:p>
            <w:pPr>
              <w:jc w:val="center"/>
            </w:pPr>
            <w:r>
              <w:t>疑似AIGC程度</w:t>
            </w:r>
          </w:p>
        </w:tc>
        <w:tc>
          <w:tcPr>
            <w:tcW w:type="dxa" w:w="1728"/>
            <w:vAlign w:val="center"/>
          </w:tcPr>
          <w:p>
            <w:pPr>
              <w:jc w:val="center"/>
            </w:pPr>
            <w:r>
              <w:t>疑似AIGC概率</w:t>
            </w:r>
          </w:p>
        </w:tc>
        <w:tc>
          <w:tcPr>
            <w:tcW w:type="dxa" w:w="1728"/>
            <w:vAlign w:val="center"/>
          </w:tcPr>
          <w:p>
            <w:pPr>
              <w:jc w:val="center"/>
            </w:pPr>
            <w:r>
              <w:t>疑似AI生成字数</w:t>
            </w:r>
          </w:p>
        </w:tc>
        <w:tc>
          <w:tcPr>
            <w:tcW w:type="dxa" w:w="1728"/>
            <w:vAlign w:val="center"/>
          </w:tcPr>
          <w:p>
            <w:pPr>
              <w:jc w:val="center"/>
            </w:pPr>
            <w:r>
              <w:t>疑似AIGC章节占比</w:t>
            </w:r>
          </w:p>
        </w:tc>
      </w:tr>
      <w:tr>
        <w:tc>
          <w:tcPr>
            <w:tcW w:type="dxa" w:w="1728"/>
            <w:vAlign w:val="center"/>
          </w:tcPr>
          <w:p>
            <w:pPr>
              <w:jc w:val="center"/>
            </w:pPr>
            <w:r>
              <w:t>1</w:t>
            </w:r>
          </w:p>
        </w:tc>
        <w:tc>
          <w:tcPr>
            <w:tcW w:type="dxa" w:w="1728"/>
            <w:vAlign w:val="center"/>
          </w:tcPr>
          <w:p>
            <w:pPr>
              <w:jc w:val="center"/>
            </w:pPr>
            <w:r>
              <w:rPr>
                <w:color w:val="FECC00"/>
              </w:rPr>
              <w:t>轻度疑似</w:t>
            </w:r>
          </w:p>
        </w:tc>
        <w:tc>
          <w:tcPr>
            <w:tcW w:type="dxa" w:w="1728"/>
            <w:vAlign w:val="center"/>
          </w:tcPr>
          <w:p>
            <w:pPr>
              <w:jc w:val="center"/>
            </w:pPr>
            <w:r>
              <w:t>70%-80%</w:t>
            </w:r>
          </w:p>
        </w:tc>
        <w:tc>
          <w:tcPr>
            <w:tcW w:type="dxa" w:w="1728"/>
            <w:vAlign w:val="center"/>
          </w:tcPr>
          <w:p>
            <w:pPr>
              <w:jc w:val="center"/>
            </w:pPr>
            <w:r>
              <w:t>52</w:t>
            </w:r>
          </w:p>
        </w:tc>
        <w:tc>
          <w:tcPr>
            <w:tcW w:type="dxa" w:w="1728"/>
            <w:vAlign w:val="center"/>
          </w:tcPr>
          <w:p>
            <w:pPr>
              <w:jc w:val="center"/>
            </w:pPr>
            <w:r>
              <w:t>9.3%</w:t>
            </w:r>
          </w:p>
        </w:tc>
      </w:tr>
      <w:tr>
        <w:tc>
          <w:tcPr>
            <w:tcW w:type="dxa" w:w="1728"/>
            <w:vAlign w:val="center"/>
          </w:tcPr>
          <w:p>
            <w:pPr>
              <w:jc w:val="center"/>
            </w:pPr>
            <w:r>
              <w:t>2</w:t>
            </w:r>
          </w:p>
        </w:tc>
        <w:tc>
          <w:tcPr>
            <w:tcW w:type="dxa" w:w="1728"/>
            <w:vAlign w:val="center"/>
          </w:tcPr>
          <w:p>
            <w:pPr>
              <w:jc w:val="center"/>
            </w:pPr>
            <w:r>
              <w:rPr>
                <w:color w:val="FFA500"/>
              </w:rPr>
              <w:t>中度疑似</w:t>
            </w:r>
          </w:p>
        </w:tc>
        <w:tc>
          <w:tcPr>
            <w:tcW w:type="dxa" w:w="1728"/>
            <w:vAlign w:val="center"/>
          </w:tcPr>
          <w:p>
            <w:pPr>
              <w:jc w:val="center"/>
            </w:pPr>
            <w:r>
              <w:t>80%-90%</w:t>
            </w:r>
          </w:p>
        </w:tc>
        <w:tc>
          <w:tcPr>
            <w:tcW w:type="dxa" w:w="1728"/>
            <w:vAlign w:val="center"/>
          </w:tcPr>
          <w:p>
            <w:pPr>
              <w:jc w:val="center"/>
            </w:pPr>
            <w:r>
              <w:t>0</w:t>
            </w:r>
          </w:p>
        </w:tc>
        <w:tc>
          <w:tcPr>
            <w:tcW w:type="dxa" w:w="1728"/>
            <w:vAlign w:val="center"/>
          </w:tcPr>
          <w:p>
            <w:pPr>
              <w:jc w:val="center"/>
            </w:pPr>
            <w:r>
              <w:t>0.0%</w:t>
            </w:r>
          </w:p>
        </w:tc>
      </w:tr>
      <w:tr>
        <w:tc>
          <w:tcPr>
            <w:tcW w:type="dxa" w:w="1728"/>
            <w:vAlign w:val="center"/>
          </w:tcPr>
          <w:p>
            <w:pPr>
              <w:jc w:val="center"/>
            </w:pPr>
            <w:r>
              <w:t>3</w:t>
            </w:r>
          </w:p>
        </w:tc>
        <w:tc>
          <w:tcPr>
            <w:tcW w:type="dxa" w:w="1728"/>
            <w:vAlign w:val="center"/>
          </w:tcPr>
          <w:p>
            <w:pPr>
              <w:jc w:val="center"/>
            </w:pPr>
            <w:r>
              <w:rPr>
                <w:color w:val="FF0000"/>
              </w:rPr>
              <w:t>重度疑似</w:t>
            </w:r>
          </w:p>
        </w:tc>
        <w:tc>
          <w:tcPr>
            <w:tcW w:type="dxa" w:w="1728"/>
            <w:vAlign w:val="center"/>
          </w:tcPr>
          <w:p>
            <w:pPr>
              <w:jc w:val="center"/>
            </w:pPr>
            <w:r>
              <w:t>90%以上</w:t>
            </w:r>
          </w:p>
        </w:tc>
        <w:tc>
          <w:tcPr>
            <w:tcW w:type="dxa" w:w="1728"/>
            <w:vAlign w:val="center"/>
          </w:tcPr>
          <w:p>
            <w:pPr>
              <w:jc w:val="center"/>
            </w:pPr>
            <w:r>
              <w:t>186</w:t>
            </w:r>
          </w:p>
        </w:tc>
        <w:tc>
          <w:tcPr>
            <w:tcW w:type="dxa" w:w="1728"/>
            <w:vAlign w:val="center"/>
          </w:tcPr>
          <w:p>
            <w:pPr>
              <w:jc w:val="center"/>
            </w:pPr>
            <w:r>
              <w:t>33.27%</w:t>
            </w:r>
          </w:p>
        </w:tc>
      </w:tr>
    </w:tbl>
    <w:p/>
    <w:p>
      <w:r>
        <w:rPr>
          <w:b/>
          <w:sz w:val="28"/>
        </w:rPr>
        <w:t>疑似AIGC片段汇总</w:t>
      </w:r>
    </w:p>
    <w:tbl>
      <w:tblPr>
        <w:tblStyle w:val="TableGrid"/>
        <w:tblW w:type="auto" w:w="0"/>
        <w:jc w:val="center"/>
        <w:tblLayout w:type="fixed"/>
        <w:tblLook w:firstColumn="1" w:firstRow="1" w:lastColumn="0" w:lastRow="0" w:noHBand="0" w:noVBand="1" w:val="04A0"/>
      </w:tblPr>
      <w:tblGrid>
        <w:gridCol w:w="1100"/>
        <w:gridCol w:w="2800"/>
        <w:gridCol w:w="1100"/>
        <w:gridCol w:w="1100"/>
      </w:tblGrid>
      <w:tr>
        <w:tc>
          <w:tcPr>
            <w:tcW w:type="dxa" w:w="2160"/>
            <w:vAlign w:val="center"/>
          </w:tcPr>
          <w:p>
            <w:pPr>
              <w:jc w:val="center"/>
            </w:pPr>
            <w:r>
              <w:t>序号</w:t>
            </w:r>
          </w:p>
        </w:tc>
        <w:tc>
          <w:tcPr>
            <w:tcW w:type="dxa" w:w="2160"/>
            <w:vAlign w:val="center"/>
          </w:tcPr>
          <w:p>
            <w:pPr>
              <w:jc w:val="center"/>
            </w:pPr>
            <w:r>
              <w:t>疑似AI生成片段</w:t>
            </w:r>
          </w:p>
        </w:tc>
        <w:tc>
          <w:tcPr>
            <w:tcW w:type="dxa" w:w="2160"/>
            <w:vAlign w:val="center"/>
          </w:tcPr>
          <w:p>
            <w:pPr>
              <w:jc w:val="center"/>
            </w:pPr>
            <w:r>
              <w:t>疑似AI生成字数</w:t>
            </w:r>
          </w:p>
        </w:tc>
        <w:tc>
          <w:tcPr>
            <w:tcW w:type="dxa" w:w="2160"/>
            <w:vAlign w:val="center"/>
          </w:tcPr>
          <w:p>
            <w:pPr>
              <w:jc w:val="center"/>
            </w:pPr>
            <w:r>
              <w:t>疑似AIGC全文占比</w:t>
            </w:r>
          </w:p>
        </w:tc>
      </w:tr>
      <w:tr>
        <w:tc>
          <w:tcPr>
            <w:tcW w:type="dxa" w:w="1100"/>
            <w:vAlign w:val="center"/>
          </w:tcPr>
          <w:p>
            <w:pPr>
              <w:jc w:val="center"/>
            </w:pPr>
            <w:r>
              <w:t>1</w:t>
            </w:r>
          </w:p>
        </w:tc>
        <w:tc>
          <w:tcPr>
            <w:tcW w:type="dxa" w:w="2800"/>
          </w:tcPr>
          <w:p>
            <w:r>
              <w:rPr>
                <w:color w:val="FF0000"/>
              </w:rPr>
              <w:t>这个博物馆不仅是一个扩展知识视野、提升生活品质的场所，也是一处充满趣味和吸引力的空间。</w:t>
            </w:r>
          </w:p>
        </w:tc>
        <w:tc>
          <w:tcPr>
            <w:tcW w:type="dxa" w:w="1100"/>
            <w:vAlign w:val="center"/>
          </w:tcPr>
          <w:p>
            <w:pPr>
              <w:jc w:val="center"/>
            </w:pPr>
            <w:r>
              <w:t>43</w:t>
            </w:r>
          </w:p>
        </w:tc>
        <w:tc>
          <w:tcPr>
            <w:tcW w:type="dxa" w:w="1100"/>
            <w:vAlign w:val="center"/>
          </w:tcPr>
          <w:p>
            <w:pPr>
              <w:jc w:val="center"/>
            </w:pPr>
            <w:r>
              <w:t>7.69%</w:t>
            </w:r>
          </w:p>
        </w:tc>
      </w:tr>
      <w:tr>
        <w:tc>
          <w:tcPr>
            <w:tcW w:type="dxa" w:w="1100"/>
            <w:vAlign w:val="center"/>
          </w:tcPr>
          <w:p>
            <w:pPr>
              <w:jc w:val="center"/>
            </w:pPr>
            <w:r>
              <w:t>2</w:t>
            </w:r>
          </w:p>
        </w:tc>
        <w:tc>
          <w:tcPr>
            <w:tcW w:type="dxa" w:w="2800"/>
          </w:tcPr>
          <w:p>
            <w:r>
              <w:rPr>
                <w:color w:val="FF0000"/>
              </w:rPr>
              <w:t>在这里，你可以穿越时间，体验从远古到现代的历史变迁；可以穿梭在不同的生态环境中，欣赏草原上的奇特动物，探索海洋深处的生物奇观，感受史前动物带来的视觉盛宴。</w:t>
            </w:r>
          </w:p>
        </w:tc>
        <w:tc>
          <w:tcPr>
            <w:tcW w:type="dxa" w:w="1100"/>
            <w:vAlign w:val="center"/>
          </w:tcPr>
          <w:p>
            <w:pPr>
              <w:jc w:val="center"/>
            </w:pPr>
            <w:r>
              <w:t>77</w:t>
            </w:r>
          </w:p>
        </w:tc>
        <w:tc>
          <w:tcPr>
            <w:tcW w:type="dxa" w:w="1100"/>
            <w:vAlign w:val="center"/>
          </w:tcPr>
          <w:p>
            <w:pPr>
              <w:jc w:val="center"/>
            </w:pPr>
            <w:r>
              <w:t>13.77%</w:t>
            </w:r>
          </w:p>
        </w:tc>
      </w:tr>
      <w:tr>
        <w:tc>
          <w:tcPr>
            <w:tcW w:type="dxa" w:w="1100"/>
            <w:vAlign w:val="center"/>
          </w:tcPr>
          <w:p>
            <w:pPr>
              <w:jc w:val="center"/>
            </w:pPr>
            <w:r>
              <w:t>3</w:t>
            </w:r>
          </w:p>
        </w:tc>
        <w:tc>
          <w:tcPr>
            <w:tcW w:type="dxa" w:w="2800"/>
          </w:tcPr>
          <w:p>
            <w:r>
              <w:rPr>
                <w:color w:val="FFCC00"/>
              </w:rPr>
              <w:t>我们正在步入文旅发展的“黄金时代”，人们对生活的渴求已经超越了日常的单一模式，寻求更加丰富和感性的体验。</w:t>
            </w:r>
          </w:p>
        </w:tc>
        <w:tc>
          <w:tcPr>
            <w:tcW w:type="dxa" w:w="1100"/>
            <w:vAlign w:val="center"/>
          </w:tcPr>
          <w:p>
            <w:pPr>
              <w:jc w:val="center"/>
            </w:pPr>
            <w:r>
              <w:t>52</w:t>
            </w:r>
          </w:p>
        </w:tc>
        <w:tc>
          <w:tcPr>
            <w:tcW w:type="dxa" w:w="1100"/>
            <w:vAlign w:val="center"/>
          </w:tcPr>
          <w:p>
            <w:pPr>
              <w:jc w:val="center"/>
            </w:pPr>
            <w:r>
              <w:t>9.3%</w:t>
            </w:r>
          </w:p>
        </w:tc>
      </w:tr>
      <w:tr>
        <w:tc>
          <w:tcPr>
            <w:tcW w:type="dxa" w:w="1100"/>
            <w:vAlign w:val="center"/>
          </w:tcPr>
          <w:p>
            <w:pPr>
              <w:jc w:val="center"/>
            </w:pPr>
            <w:r>
              <w:t>4</w:t>
            </w:r>
          </w:p>
        </w:tc>
        <w:tc>
          <w:tcPr>
            <w:tcW w:type="dxa" w:w="2800"/>
          </w:tcPr>
          <w:p>
            <w:r>
              <w:rPr>
                <w:color w:val="FF0000"/>
              </w:rPr>
              <w:t>在这个转变中，公共文化空间成为了满足人们追求愉悦体验和精神滋养的理想场所。</w:t>
            </w:r>
            <w:r>
              <w:rPr>
                <w:color w:val="FF0000"/>
              </w:rPr>
              <w:t>多栖博物馆，就是这样一处可以让你尽享知识与乐趣的精神家园。</w:t>
            </w:r>
          </w:p>
        </w:tc>
        <w:tc>
          <w:tcPr>
            <w:tcW w:type="dxa" w:w="1100"/>
            <w:vAlign w:val="center"/>
          </w:tcPr>
          <w:p>
            <w:pPr>
              <w:jc w:val="center"/>
            </w:pPr>
            <w:r>
              <w:t>66</w:t>
            </w:r>
          </w:p>
        </w:tc>
        <w:tc>
          <w:tcPr>
            <w:tcW w:type="dxa" w:w="1100"/>
            <w:vAlign w:val="center"/>
          </w:tcPr>
          <w:p>
            <w:pPr>
              <w:jc w:val="center"/>
            </w:pPr>
            <w:r>
              <w:t>11.81%</w:t>
            </w:r>
          </w:p>
        </w:tc>
      </w:tr>
    </w:tbl>
    <w:p/>
    <w:p>
      <w:r>
        <w:rPr>
          <w:color w:val="000000"/>
        </w:rPr>
        <w:t>“五一”假期，众多市民游客逛起了“世遗之城”泉州，在这座古老而又充满活力的城市里，领略“半城烟火半城仙”的独特魅力。</w:t>
      </w:r>
    </w:p>
    <w:p>
      <w:r>
        <w:rPr>
          <w:color w:val="000000"/>
        </w:rPr>
        <w:t>地处世遗之城泉州核心区，鲤城区仿若一座“没有屋顶的博物馆”，收获了大批文化拥趸。</w:t>
      </w:r>
      <w:r>
        <w:rPr>
          <w:color w:val="000000"/>
        </w:rPr>
        <w:t>走在泉州的大街小巷，俯仰之间，随处可见丰富的历史文化遗迹和多元文化共融的和谐场景。</w:t>
      </w:r>
      <w:r>
        <w:rPr>
          <w:color w:val="000000"/>
        </w:rPr>
        <w:t>在这里，文化不再是只可远观的阳春白雪，它正以朴素、亲切的方式融入老百姓的烟火生活。</w:t>
      </w:r>
      <w:r>
        <w:rPr>
          <w:color w:val="000000"/>
        </w:rPr>
        <w:t>时光的褶皱里，沉淀着建筑、艺术、民俗、饮食的深厚底蕴，一不小心便和历史撞个满怀。</w:t>
      </w:r>
    </w:p>
    <w:p>
      <w:r>
        <w:rPr>
          <w:color w:val="000000"/>
        </w:rPr>
        <w:t>==以下为AI转写部分</w:t>
      </w:r>
    </w:p>
    <w:p>
      <w:r>
        <w:rPr>
          <w:color w:val="000000"/>
        </w:rPr>
        <w:t>在熙攘的城市中，座落于鲤城区东亚之窗文创产业园的多栖博物馆犹如一颗闪亮的明珠。</w:t>
      </w:r>
      <w:r>
        <w:rPr>
          <w:color w:val="FF0000"/>
        </w:rPr>
        <w:t>这个博物馆不仅是一个扩展知识视野、提升生活品质的场所，也是一处充满趣味和吸引力的空间。</w:t>
      </w:r>
      <w:r>
        <w:rPr>
          <w:color w:val="000000"/>
        </w:rPr>
        <w:t>博物馆的主管陈梓钰用丰富的知识和热情的语调介绍博物馆的独特魅力：“你知道吗，全球有7000多种螃蟹。”</w:t>
      </w:r>
      <w:r>
        <w:rPr>
          <w:color w:val="FF0000"/>
        </w:rPr>
        <w:t>在这里，你可以穿越时间，体验从远古到现代的历史变迁；可以穿梭在不同的生态环境中，欣赏草原上的奇特动物，探索海洋深处的生物奇观，感受史前动物带来的视觉盛宴。</w:t>
      </w:r>
    </w:p>
    <w:p>
      <w:r>
        <w:rPr>
          <w:color w:val="FECC00"/>
        </w:rPr>
        <w:t>我们正在步入文旅发展的“黄金时代”，人们对生活的渴求已经超越了日常的单一模式，寻求更加丰富和感性的体验。</w:t>
      </w:r>
      <w:r>
        <w:rPr>
          <w:color w:val="FF0000"/>
        </w:rPr>
        <w:t>在这个转变中，公共文化空间成为了满足人们追求愉悦体验和精神滋养的理想场所。</w:t>
      </w:r>
      <w:r>
        <w:rPr>
          <w:color w:val="FF0000"/>
        </w:rPr>
        <w:t>多栖博物馆，就是这样一处可以让你尽享知识与乐趣的精神家园。</w:t>
      </w:r>
    </w:p>
    <w:p>
      <w:r>
        <w:rPr>
          <w:color w:val="000000"/>
        </w:rPr>
      </w:r>
    </w:p>
    <w:p>
      <w:pPr>
        <w:jc w:val="center"/>
      </w:pPr>
      <w:r>
        <w:drawing>
          <wp:inline xmlns:a="http://schemas.openxmlformats.org/drawingml/2006/main" xmlns:pic="http://schemas.openxmlformats.org/drawingml/2006/picture">
            <wp:extent cx="4572000" cy="2427732"/>
            <wp:docPr id="2" name="Picture 2"/>
            <wp:cNvGraphicFramePr>
              <a:graphicFrameLocks noChangeAspect="1"/>
            </wp:cNvGraphicFramePr>
            <a:graphic>
              <a:graphicData uri="http://schemas.openxmlformats.org/drawingml/2006/picture">
                <pic:pic>
                  <pic:nvPicPr>
                    <pic:cNvPr id="0" name="dragonos.jpg"/>
                    <pic:cNvPicPr/>
                  </pic:nvPicPr>
                  <pic:blipFill>
                    <a:blip r:embed="rId9"/>
                    <a:stretch>
                      <a:fillRect/>
                    </a:stretch>
                  </pic:blipFill>
                  <pic:spPr>
                    <a:xfrm>
                      <a:off x="0" y="0"/>
                      <a:ext cx="4572000" cy="2427732"/>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黑体" w:hAnsi="黑体" w:eastAsia="黑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