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0"/>
        </w:rPr>
        <w:t>AIGC检测报告</w:t>
      </w:r>
    </w:p>
    <w:p>
      <w:r>
        <w:rPr>
          <w:b/>
          <w:sz w:val="28"/>
        </w:rPr>
        <w:t>AIGC检测结果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检测字符数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人工书写字数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人工占比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466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466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100.0%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</w:tbl>
    <w:p/>
    <w:p>
      <w:r>
        <w:rPr>
          <w:b/>
          <w:sz w:val="28"/>
        </w:rPr>
        <w:t>疑似AIGC程度分布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00"/>
        <w:gridCol w:w="1400"/>
        <w:gridCol w:w="1400"/>
        <w:gridCol w:w="1400"/>
        <w:gridCol w:w="1400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疑似AIGC程度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疑似AIGC概率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疑似AIGC章节占比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ECC00"/>
              </w:rPr>
              <w:t>轻度疑似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70%-80%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A500"/>
              </w:rPr>
              <w:t>中度疑似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80%-90%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0000"/>
              </w:rPr>
              <w:t>重度疑似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90%以上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</w:tbl>
    <w:p/>
    <w:p>
      <w:r>
        <w:rPr>
          <w:b/>
          <w:sz w:val="28"/>
        </w:rPr>
        <w:t>疑似AIGC片段汇总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100"/>
        <w:gridCol w:w="2800"/>
        <w:gridCol w:w="1100"/>
        <w:gridCol w:w="110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疑似AI生成片段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</w:tbl>
    <w:p/>
    <w:p>
      <w:r>
        <w:rPr>
          <w:color w:val="000000"/>
        </w:rPr>
        <w:t>“五一”假期，众多市民游客逛起了“世遗之城”泉州，在这座古老而又充满活力的城市里，领略“半城烟火半城仙”的独特魅力。</w:t>
      </w:r>
    </w:p>
    <w:p>
      <w:r>
        <w:rPr>
          <w:color w:val="000000"/>
        </w:rPr>
        <w:t>地处世遗之城泉州核心区，鲤城区仿若一座“没有屋顶的博物馆”，收获了大批文化拥趸。</w:t>
      </w:r>
      <w:r>
        <w:rPr>
          <w:color w:val="000000"/>
        </w:rPr>
        <w:t>走在泉州的大街小巷，俯仰之间，随处可见丰富的历史文化遗迹和多元文化共融的和谐场景。</w:t>
      </w:r>
      <w:r>
        <w:rPr>
          <w:color w:val="000000"/>
        </w:rPr>
        <w:t>在这里，文化不再是只可远观的阳春白雪，它正以朴素、亲切的方式融入老百姓的烟火生活。</w:t>
      </w:r>
      <w:r>
        <w:rPr>
          <w:color w:val="000000"/>
        </w:rPr>
        <w:t>时光的褶皱里，沉淀着建筑、艺术、民俗、饮食的深厚底蕴，一不小心便和历史撞个满怀。</w:t>
      </w:r>
    </w:p>
    <w:p>
      <w:r>
        <w:rPr>
          <w:color w:val="000000"/>
        </w:rPr>
        <w:t>人们希望博物馆不仅是可以学到知识、提升品位的，也可以是“好看”“好玩”“好逛”的。</w:t>
      </w:r>
      <w:r>
        <w:rPr>
          <w:color w:val="000000"/>
        </w:rPr>
        <w:t>记者来到坐落于鲤城区东亚之窗文创产业园的多栖博物馆。</w:t>
      </w:r>
      <w:r>
        <w:rPr>
          <w:color w:val="000000"/>
        </w:rPr>
        <w:t>“你知道吗？</w:t>
      </w:r>
      <w:r>
        <w:rPr>
          <w:color w:val="000000"/>
        </w:rPr>
        <w:t>全球有7000多个品种的螃蟹。”</w:t>
      </w:r>
      <w:r>
        <w:rPr>
          <w:color w:val="000000"/>
        </w:rPr>
        <w:t>谈起博物馆特色，博物馆负责人陈梓钰滔滔不绝。</w:t>
      </w:r>
      <w:r>
        <w:rPr>
          <w:color w:val="000000"/>
        </w:rPr>
        <w:t>从远古穿越到现代，从礁滩穿梭到草原，置身其间，可以纵览草原上的珍奇动物、奇特的海洋生物，感受史前动物带来的视觉震撼。</w:t>
      </w:r>
    </w:p>
    <w:p>
      <w:r>
        <w:rPr>
          <w:color w:val="000000"/>
        </w:rPr>
        <w:t>步入文旅发展的“黄金时代”，越来越多的人渴望走出“千篇一律”的日常，投入到更加鲜活可感的生活中去，而公共文化空间无疑成为获得愉悦体验和精神滋养的绝佳场所。</w:t>
      </w:r>
    </w:p>
    <w:p>
      <w:r>
        <w:rPr>
          <w:color w:val="000000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