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Science Career Track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Capstone Three: Step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is important that credit card companies are able to recognize fraudulent credit card transactions so that customers are not charged for items that they did not purchase.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Credit card Fraud detect system using Convolutional Neural Network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can consider the project as a Recommendation System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tabular data from Kaggle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https://www.kaggle.com/mlg-ulb/creditcardfraud</w:t>
        </w:r>
      </w:hyperlink>
      <w:r w:rsidDel="00000000" w:rsidR="00000000" w:rsidRPr="00000000">
        <w:rPr>
          <w:rtl w:val="0"/>
        </w:rPr>
        <w:t xml:space="preserve"> motivated me to create a classification system for transactions that could detect real or fake transactions. Most of the transaction must be real, only a small amount could be fraud. I can observe that the data is imbalanced. Therefore it would be a factor to take into account.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 dataset contains only numerical input variables which are the result of a PCA transformation.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Unfortunately, due to confidentiality issues, they cannot provide the original features and more background information about the data. Features V1, V2, … V28 are the principal components obtained with PCA. I’ll use only one dataset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only features which have not been transformed with PCA are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1)'Time' and 'Amount'. Feature 'Time' contains the seconds elapsed between each transaction and the first transaction in the dataset.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2)The feature 'Amount' is the transaction Amount, this feature can be used for example-dependant cost-sensitive learning.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3)Feature 'Class' is the response variable and it takes value 1 in case of fraud and 0 otherwise.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Given the class imbalance ratio, I recommend measuring the accuracy using the Area Under the Precision-Recall Curve (AUPRC). Confusion matrix accuracy is not meaningful for unbalanced classification.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