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A2B4A"/>
          <w:sz w:val="72"/>
        </w:rPr>
        <w:t>AvoLex</w:t>
      </w:r>
    </w:p>
    <w:p>
      <w:pPr>
        <w:jc w:val="center"/>
      </w:pPr>
      <w:r>
        <w:rPr>
          <w:rFonts w:ascii="Calibri Light" w:hAnsi="Calibri Light"/>
          <w:color w:val="2C5F8A"/>
          <w:sz w:val="40"/>
        </w:rPr>
        <w:t>Manuel de procédure utilisateur</w:t>
      </w:r>
    </w:p>
    <w:p/>
    <w:p>
      <w:pPr>
        <w:jc w:val="center"/>
      </w:pPr>
      <w:r>
        <w:rPr>
          <w:color w:val="5A5A5A"/>
          <w:sz w:val="24"/>
        </w:rPr>
        <w:t>Gestion de cabinet d'avocats — SaaS multi-tenant</w:t>
      </w:r>
    </w:p>
    <w:p/>
    <w:p/>
    <w:p>
      <w:pPr>
        <w:jc w:val="center"/>
      </w:pPr>
      <w:r>
        <w:rPr>
          <w:color w:val="5A5A5A"/>
          <w:sz w:val="22"/>
        </w:rPr>
        <w:t>Version 1.0 — 18/08/2026</w:t>
      </w:r>
    </w:p>
    <w:p>
      <w:pPr>
        <w:jc w:val="center"/>
      </w:pPr>
      <w:r>
        <w:rPr>
          <w:i/>
          <w:color w:val="5A5A5A"/>
          <w:sz w:val="20"/>
        </w:rPr>
        <w:t>Document interne — Usage cabinet</w:t>
      </w:r>
    </w:p>
    <w:p>
      <w:r>
        <w:br w:type="page"/>
      </w:r>
    </w:p>
    <w:p>
      <w:pPr>
        <w:pStyle w:val="Heading1"/>
      </w:pPr>
      <w:r>
        <w:t>Sommaire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5A5A5A"/>
        </w:rPr>
        <w:t>Mettez à jour la table des matières : clic droit → Mettre à jour les champs.</w:t>
      </w:r>
      <w:r>
        <w:fldChar w:fldCharType="end"/>
      </w:r>
    </w:p>
    <w:p>
      <w:r>
        <w:br w:type="page"/>
      </w:r>
    </w:p>
    <w:p>
      <w:pPr>
        <w:pStyle w:val="Heading1"/>
      </w:pPr>
      <w:r>
        <w:t>1. Objet et périmètre du document</w:t>
      </w:r>
    </w:p>
    <w:p>
      <w:r>
        <w:t>Le présent manuel décrit les procédures d'utilisation d'AvoLex, plateforme SaaS de gestion de cabinet d'avocats. Il s'adresse aux utilisateurs finaux : avocats, collaborateurs, secrétaires et administrateurs de cabinet.</w:t>
      </w:r>
    </w:p>
    <w:p>
      <w:r>
        <w:t>AvoLex couvre la gestion des clients, des dossiers, de l'agenda, des documents (GED), de la facturation et du tableau de bord. Chaque cabinet dispose d'un espace isolé (multi-tenant) : les données d'un cabinet ne sont jamais visibles par un autre.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EEF4"/>
          </w:tcPr>
          <w:p>
            <w:r>
              <w:rPr>
                <w:b/>
                <w:color w:val="1A2B4A"/>
              </w:rPr>
              <w:t>Prérequis utilisateur</w:t>
              <w:br/>
            </w:r>
            <w:r>
              <w:rPr>
                <w:sz w:val="20"/>
              </w:rPr>
              <w:t>Navigateur web récent (Chrome, Firefox, Edge). Compte utilisateur actif rattaché à au moins un cabinet. Connexion Internet stable.</w:t>
            </w:r>
          </w:p>
        </w:tc>
      </w:tr>
    </w:tbl>
    <w:p/>
    <w:p>
      <w:pPr>
        <w:pStyle w:val="Heading1"/>
      </w:pPr>
      <w:r>
        <w:t>2. Accès à l'application</w:t>
      </w:r>
    </w:p>
    <w:p>
      <w:pPr>
        <w:pStyle w:val="Heading2"/>
      </w:pPr>
      <w:r>
        <w:t>2.1 Connexion</w:t>
      </w:r>
    </w:p>
    <w:p>
      <w:pPr>
        <w:pStyle w:val="ListNumber"/>
        <w:ind w:left="283"/>
      </w:pPr>
      <w:r>
        <w:rPr>
          <w:sz w:val="22"/>
        </w:rPr>
        <w:t>Ouvrir l'adresse de l'application (ex. https://votre-domaine.avolex.fr ou http://127.0.0.1:8000 en environnement local).</w:t>
      </w:r>
    </w:p>
    <w:p>
      <w:pPr>
        <w:pStyle w:val="ListNumber"/>
        <w:ind w:left="283"/>
      </w:pPr>
      <w:r>
        <w:rPr>
          <w:sz w:val="22"/>
        </w:rPr>
        <w:t>Cliquer sur « Se connecter » ou accéder directement à /accounts/login/.</w:t>
      </w:r>
    </w:p>
    <w:p>
      <w:pPr>
        <w:pStyle w:val="ListNumber"/>
        <w:ind w:left="283"/>
      </w:pPr>
      <w:r>
        <w:rPr>
          <w:sz w:val="22"/>
        </w:rPr>
        <w:t>Saisir votre adresse e-mail et votre mot de passe.</w:t>
      </w:r>
    </w:p>
    <w:p>
      <w:pPr>
        <w:pStyle w:val="ListNumber"/>
        <w:ind w:left="283"/>
      </w:pPr>
      <w:r>
        <w:rPr>
          <w:sz w:val="22"/>
        </w:rPr>
        <w:t>Valider. Vous êtes redirigé vers le tableau de bord (/app/).</w:t>
      </w:r>
    </w:p>
    <w:p>
      <w:pPr>
        <w:pStyle w:val="Heading2"/>
      </w:pPr>
      <w:r>
        <w:t>2.2 Première inscription (création de cabinet)</w:t>
      </w:r>
    </w:p>
    <w:p>
      <w:pPr>
        <w:pStyle w:val="ListNumber"/>
        <w:ind w:left="283"/>
      </w:pPr>
      <w:r>
        <w:rPr>
          <w:sz w:val="22"/>
        </w:rPr>
        <w:t>Accéder à /accounts/register/.</w:t>
      </w:r>
    </w:p>
    <w:p>
      <w:pPr>
        <w:pStyle w:val="ListNumber"/>
        <w:ind w:left="283"/>
      </w:pPr>
      <w:r>
        <w:rPr>
          <w:sz w:val="22"/>
        </w:rPr>
        <w:t>Renseigner vos informations personnelles et le nom du cabinet.</w:t>
      </w:r>
    </w:p>
    <w:p>
      <w:pPr>
        <w:pStyle w:val="ListNumber"/>
        <w:ind w:left="283"/>
      </w:pPr>
      <w:r>
        <w:rPr>
          <w:sz w:val="22"/>
        </w:rPr>
        <w:t>Choisir un mot de passe robuste (8 caractères minimum, lettres et chiffres).</w:t>
      </w:r>
    </w:p>
    <w:p>
      <w:pPr>
        <w:pStyle w:val="ListNumber"/>
        <w:ind w:left="283"/>
      </w:pPr>
      <w:r>
        <w:rPr>
          <w:sz w:val="22"/>
        </w:rPr>
        <w:t>Valider le formulaire. Vous devenez Propriétaire (owner) du cabinet créé.</w:t>
      </w:r>
    </w:p>
    <w:p>
      <w:pPr>
        <w:pStyle w:val="Heading2"/>
      </w:pPr>
      <w:r>
        <w:t>2.3 Mot de passe oublié</w:t>
      </w:r>
    </w:p>
    <w:p>
      <w:pPr>
        <w:pStyle w:val="ListNumber"/>
        <w:ind w:left="283"/>
      </w:pPr>
      <w:r>
        <w:rPr>
          <w:sz w:val="22"/>
        </w:rPr>
        <w:t>Sur la page de connexion, cliquer sur « Mot de passe oublié ».</w:t>
      </w:r>
    </w:p>
    <w:p>
      <w:pPr>
        <w:pStyle w:val="ListNumber"/>
        <w:ind w:left="283"/>
      </w:pPr>
      <w:r>
        <w:rPr>
          <w:sz w:val="22"/>
        </w:rPr>
        <w:t>Saisir votre adresse e-mail et valider.</w:t>
      </w:r>
    </w:p>
    <w:p>
      <w:pPr>
        <w:pStyle w:val="ListNumber"/>
        <w:ind w:left="283"/>
      </w:pPr>
      <w:r>
        <w:rPr>
          <w:sz w:val="22"/>
        </w:rPr>
        <w:t>Consulter votre boîte mail et suivre le lien reçu.</w:t>
      </w:r>
    </w:p>
    <w:p>
      <w:pPr>
        <w:pStyle w:val="ListNumber"/>
        <w:ind w:left="283"/>
      </w:pPr>
      <w:r>
        <w:rPr>
          <w:sz w:val="22"/>
        </w:rPr>
        <w:t>Définir un nouveau mot de passe puis vous reconnecter.</w:t>
      </w:r>
    </w:p>
    <w:p>
      <w:pPr>
        <w:pStyle w:val="Heading2"/>
      </w:pPr>
      <w:r>
        <w:t>2.4 Accepter une invitation</w:t>
      </w:r>
    </w:p>
    <w:p>
      <w:pPr>
        <w:pStyle w:val="ListNumber"/>
        <w:ind w:left="283"/>
      </w:pPr>
      <w:r>
        <w:rPr>
          <w:sz w:val="22"/>
        </w:rPr>
        <w:t>Recevoir l'e-mail d'invitation envoyé par un membre autorisé du cabinet.</w:t>
      </w:r>
    </w:p>
    <w:p>
      <w:pPr>
        <w:pStyle w:val="ListNumber"/>
        <w:ind w:left="283"/>
      </w:pPr>
      <w:r>
        <w:rPr>
          <w:sz w:val="22"/>
        </w:rPr>
        <w:t>Cliquer sur le lien contenant le jeton d'invitation (/accounts/invitations/&lt;token&gt;/).</w:t>
      </w:r>
    </w:p>
    <w:p>
      <w:pPr>
        <w:pStyle w:val="ListNumber"/>
        <w:ind w:left="283"/>
      </w:pPr>
      <w:r>
        <w:rPr>
          <w:sz w:val="22"/>
        </w:rPr>
        <w:t>Si vous n'avez pas encore de compte : créer un mot de passe.</w:t>
      </w:r>
    </w:p>
    <w:p>
      <w:pPr>
        <w:pStyle w:val="ListNumber"/>
        <w:ind w:left="283"/>
      </w:pPr>
      <w:r>
        <w:rPr>
          <w:sz w:val="22"/>
        </w:rPr>
        <w:t>Si vous avez déjà un compte : vous connecter pour accepter l'invitation.</w:t>
      </w:r>
    </w:p>
    <w:p>
      <w:pPr>
        <w:pStyle w:val="ListNumber"/>
        <w:ind w:left="283"/>
      </w:pPr>
      <w:r>
        <w:rPr>
          <w:sz w:val="22"/>
        </w:rPr>
        <w:t>Vous accédez au cabinet avec le rôle qui vous a été attribué.</w:t>
      </w:r>
    </w:p>
    <w:p>
      <w:pPr>
        <w:pStyle w:val="Heading2"/>
      </w:pPr>
      <w:r>
        <w:t>2.5 Changer de cabinet actif</w:t>
      </w:r>
    </w:p>
    <w:p>
      <w:r>
        <w:t>Un utilisateur peut appartenir à plusieurs cabinets. Le sélecteur de cabinet dans l'interface permet de basculer le contexte actif. Toutes les listes et actions portent sur le cabinet sélectionné.</w:t>
      </w:r>
    </w:p>
    <w:p>
      <w:pPr>
        <w:pStyle w:val="ListNumber"/>
        <w:ind w:left="283"/>
      </w:pPr>
      <w:r>
        <w:rPr>
          <w:sz w:val="22"/>
        </w:rPr>
        <w:t>Ouvrir le menu ou le sélecteur de cabinet (barre latérale).</w:t>
      </w:r>
    </w:p>
    <w:p>
      <w:pPr>
        <w:pStyle w:val="ListNumber"/>
        <w:ind w:left="283"/>
      </w:pPr>
      <w:r>
        <w:rPr>
          <w:sz w:val="22"/>
        </w:rPr>
        <w:t>Choisir le cabinet souhaité.</w:t>
      </w:r>
    </w:p>
    <w:p>
      <w:pPr>
        <w:pStyle w:val="ListNumber"/>
        <w:ind w:left="283"/>
      </w:pPr>
      <w:r>
        <w:rPr>
          <w:sz w:val="22"/>
        </w:rPr>
        <w:t>Confirmer si nécessaire (action POST vers /cabinets/switch/).</w:t>
      </w:r>
    </w:p>
    <w:p>
      <w:pPr>
        <w:pStyle w:val="Heading1"/>
      </w:pPr>
      <w:r>
        <w:t>3. Rôles et permissions</w:t>
      </w:r>
    </w:p>
    <w:p>
      <w:r>
        <w:t>Chaque membre possède un rôle au sein du cabinet. Les permissions déterminent ce qu'il peut consulter, créer, modifier ou supprimer.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2B4A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3135"/>
            <w:shd w:fill="1A2B4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A2B4A"/>
          </w:tcPr>
          <w:p>
            <w:r>
              <w:rPr>
                <w:b/>
                <w:color w:val="FFFFFF"/>
                <w:sz w:val="20"/>
              </w:rPr>
              <w:t>Droits principaux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Propriétaire (owner)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Administrateur du cabinet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Tous les droits : gestion membres, facturation, cabinet, invitations</w:t>
            </w:r>
          </w:p>
        </w:tc>
      </w:tr>
      <w:tr>
        <w:tc>
          <w:tcPr>
            <w:tcW w:type="dxa" w:w="3135"/>
            <w:shd w:fill="F5F7FA"/>
          </w:tcPr>
          <w:p>
            <w:r>
              <w:rPr>
                <w:sz w:val="20"/>
              </w:rPr>
              <w:t>Avocat (lawyer)</w:t>
            </w:r>
          </w:p>
        </w:tc>
        <w:tc>
          <w:tcPr>
            <w:tcW w:type="dxa" w:w="3135"/>
            <w:shd w:fill="F5F7FA"/>
          </w:tcPr>
          <w:p>
            <w:r>
              <w:rPr>
                <w:sz w:val="20"/>
              </w:rPr>
              <w:t>Avocat du cabinet</w:t>
            </w:r>
          </w:p>
        </w:tc>
        <w:tc>
          <w:tcPr>
            <w:tcW w:type="dxa" w:w="3135"/>
            <w:shd w:fill="F5F7FA"/>
          </w:tcPr>
          <w:p>
            <w:r>
              <w:rPr>
                <w:sz w:val="20"/>
              </w:rPr>
              <w:t>CRUD métier, invitations de nouveaux membres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Collaborateur (associate)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Avocat junior ou stagiaire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Consultation, création et modification (pas de suppression)</w:t>
            </w:r>
          </w:p>
        </w:tc>
      </w:tr>
      <w:tr>
        <w:tc>
          <w:tcPr>
            <w:tcW w:type="dxa" w:w="3135"/>
            <w:shd w:fill="F5F7FA"/>
          </w:tcPr>
          <w:p>
            <w:r>
              <w:rPr>
                <w:sz w:val="20"/>
              </w:rPr>
              <w:t>Secrétaire (secretary)</w:t>
            </w:r>
          </w:p>
        </w:tc>
        <w:tc>
          <w:tcPr>
            <w:tcW w:type="dxa" w:w="3135"/>
            <w:shd w:fill="F5F7FA"/>
          </w:tcPr>
          <w:p>
            <w:r>
              <w:rPr>
                <w:sz w:val="20"/>
              </w:rPr>
              <w:t>Assistant(e) administratif(ve)</w:t>
            </w:r>
          </w:p>
        </w:tc>
        <w:tc>
          <w:tcPr>
            <w:tcW w:type="dxa" w:w="3135"/>
            <w:shd w:fill="F5F7FA"/>
          </w:tcPr>
          <w:p>
            <w:r>
              <w:rPr>
                <w:sz w:val="20"/>
              </w:rPr>
              <w:t>Consultation, création et modification (pas de suppression)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Lecture seule (read_only)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Consultation uniquement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Affichage des données sans modification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2B4A"/>
          </w:tcPr>
          <w:p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1568"/>
            <w:shd w:fill="1A2B4A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568"/>
            <w:shd w:fill="1A2B4A"/>
          </w:tcPr>
          <w:p>
            <w:r>
              <w:rPr>
                <w:b/>
                <w:color w:val="FFFFFF"/>
                <w:sz w:val="20"/>
              </w:rPr>
              <w:t>Avocat</w:t>
            </w:r>
          </w:p>
        </w:tc>
        <w:tc>
          <w:tcPr>
            <w:tcW w:type="dxa" w:w="1568"/>
            <w:shd w:fill="1A2B4A"/>
          </w:tcPr>
          <w:p>
            <w:r>
              <w:rPr>
                <w:b/>
                <w:color w:val="FFFFFF"/>
                <w:sz w:val="20"/>
              </w:rPr>
              <w:t>Collab.</w:t>
            </w:r>
          </w:p>
        </w:tc>
        <w:tc>
          <w:tcPr>
            <w:tcW w:type="dxa" w:w="1568"/>
            <w:shd w:fill="1A2B4A"/>
          </w:tcPr>
          <w:p>
            <w:r>
              <w:rPr>
                <w:b/>
                <w:color w:val="FFFFFF"/>
                <w:sz w:val="20"/>
              </w:rPr>
              <w:t>Secr.</w:t>
            </w:r>
          </w:p>
        </w:tc>
        <w:tc>
          <w:tcPr>
            <w:tcW w:type="dxa" w:w="1568"/>
            <w:shd w:fill="1A2B4A"/>
          </w:tcPr>
          <w:p>
            <w:r>
              <w:rPr>
                <w:b/>
                <w:color w:val="FFFFFF"/>
                <w:sz w:val="20"/>
              </w:rPr>
              <w:t>Lecture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Consulter (view)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568"/>
            <w:shd w:fill="F5F7FA"/>
          </w:tcPr>
          <w:p>
            <w:r>
              <w:rPr>
                <w:sz w:val="20"/>
              </w:rPr>
              <w:t>Créer (add)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Modifier (change)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  <w:shd w:fill="F5F7FA"/>
          </w:tcPr>
          <w:p>
            <w:r>
              <w:rPr>
                <w:sz w:val="20"/>
              </w:rPr>
              <w:t>Supprimer (delete)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Inviter (invite)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  <w:shd w:fill="F5F7FA"/>
          </w:tcPr>
          <w:p>
            <w:r>
              <w:rPr>
                <w:sz w:val="20"/>
              </w:rPr>
              <w:t>Gérer membres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Gérer facturation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  <w:shd w:fill="F5F7FA"/>
          </w:tcPr>
          <w:p>
            <w:r>
              <w:rPr>
                <w:sz w:val="20"/>
              </w:rPr>
              <w:t>Gérer cabinet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  <w:shd w:fill="F5F7FA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3.1 Inviter un membre</w:t>
      </w:r>
    </w:p>
    <w:p>
      <w:pPr>
        <w:pStyle w:val="ListNumber"/>
        <w:ind w:left="283"/>
      </w:pPr>
      <w:r>
        <w:rPr>
          <w:sz w:val="22"/>
        </w:rPr>
        <w:t>Accéder à /cabinets/invitations/ (menu Équipe ou Invitations).</w:t>
      </w:r>
    </w:p>
    <w:p>
      <w:pPr>
        <w:pStyle w:val="ListNumber"/>
        <w:ind w:left="283"/>
      </w:pPr>
      <w:r>
        <w:rPr>
          <w:sz w:val="22"/>
        </w:rPr>
        <w:t>Cliquer sur « Inviter un membre ».</w:t>
      </w:r>
    </w:p>
    <w:p>
      <w:pPr>
        <w:pStyle w:val="ListNumber"/>
        <w:ind w:left="283"/>
      </w:pPr>
      <w:r>
        <w:rPr>
          <w:sz w:val="22"/>
        </w:rPr>
        <w:t>Saisir l'adresse e-mail et sélectionner le rôle.</w:t>
      </w:r>
    </w:p>
    <w:p>
      <w:pPr>
        <w:pStyle w:val="ListNumber"/>
        <w:ind w:left="283"/>
      </w:pPr>
      <w:r>
        <w:rPr>
          <w:sz w:val="22"/>
        </w:rPr>
        <w:t>Envoyer l'invitation. Le destinataire reçoit un lien par e-mail.</w:t>
      </w:r>
    </w:p>
    <w:p>
      <w:pPr>
        <w:pStyle w:val="ListNumber"/>
        <w:ind w:left="283"/>
      </w:pPr>
      <w:r>
        <w:rPr>
          <w:sz w:val="22"/>
        </w:rPr>
        <w:t>Suivre le statut des invitations en attente depuis la même page.</w:t>
      </w:r>
    </w:p>
    <w:p>
      <w:pPr>
        <w:pStyle w:val="Heading1"/>
      </w:pPr>
      <w:r>
        <w:t>4. Navigation et tableau de bord</w:t>
      </w:r>
    </w:p>
    <w:p>
      <w:r>
        <w:t>Après connexion, le tableau de bord (/app/) affiche une vue synthétique de l'activité du cabinet.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2B4A"/>
          </w:tcPr>
          <w:p>
            <w:r>
              <w:rPr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4703"/>
            <w:shd w:fill="1A2B4A"/>
          </w:tcPr>
          <w:p>
            <w:r>
              <w:rPr>
                <w:b/>
                <w:color w:val="FFFFFF"/>
                <w:sz w:val="20"/>
              </w:rPr>
              <w:t>Signification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Clients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Nombre total de clients enregistrés</w:t>
            </w:r>
          </w:p>
        </w:tc>
      </w:tr>
      <w:tr>
        <w:tc>
          <w:tcPr>
            <w:tcW w:type="dxa" w:w="4703"/>
            <w:shd w:fill="F5F7FA"/>
          </w:tcPr>
          <w:p>
            <w:r>
              <w:rPr>
                <w:sz w:val="20"/>
              </w:rPr>
              <w:t>Dossiers actifs</w:t>
            </w:r>
          </w:p>
        </w:tc>
        <w:tc>
          <w:tcPr>
            <w:tcW w:type="dxa" w:w="4703"/>
            <w:shd w:fill="F5F7FA"/>
          </w:tcPr>
          <w:p>
            <w:r>
              <w:rPr>
                <w:sz w:val="20"/>
              </w:rPr>
              <w:t>Dossiers ouverts, en cours ou en attente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Événements à venir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Rendez-vous et échéances non terminés</w:t>
            </w:r>
          </w:p>
        </w:tc>
      </w:tr>
      <w:tr>
        <w:tc>
          <w:tcPr>
            <w:tcW w:type="dxa" w:w="4703"/>
            <w:shd w:fill="F5F7FA"/>
          </w:tcPr>
          <w:p>
            <w:r>
              <w:rPr>
                <w:sz w:val="20"/>
              </w:rPr>
              <w:t>Heures non facturées</w:t>
            </w:r>
          </w:p>
        </w:tc>
        <w:tc>
          <w:tcPr>
            <w:tcW w:type="dxa" w:w="4703"/>
            <w:shd w:fill="F5F7FA"/>
          </w:tcPr>
          <w:p>
            <w:r>
              <w:rPr>
                <w:sz w:val="20"/>
              </w:rPr>
              <w:t>Montant estimé des temps non encore facturés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Factures impayées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Factures envoyées ou en retard de paiement</w:t>
            </w:r>
          </w:p>
        </w:tc>
      </w:tr>
      <w:tr>
        <w:tc>
          <w:tcPr>
            <w:tcW w:type="dxa" w:w="4703"/>
            <w:shd w:fill="F5F7FA"/>
          </w:tcPr>
          <w:p>
            <w:r>
              <w:rPr>
                <w:sz w:val="20"/>
              </w:rPr>
              <w:t>CA du mois</w:t>
            </w:r>
          </w:p>
        </w:tc>
        <w:tc>
          <w:tcPr>
            <w:tcW w:type="dxa" w:w="4703"/>
            <w:shd w:fill="F5F7FA"/>
          </w:tcPr>
          <w:p>
            <w:r>
              <w:rPr>
                <w:sz w:val="20"/>
              </w:rPr>
              <w:t>Chiffre d'affaires facturé sur le mois en cours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2B4A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35"/>
            <w:shd w:fill="1A2B4A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135"/>
            <w:shd w:fill="1A2B4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Tableau de bord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/app/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Vue d'ensemble et KPIs</w:t>
            </w:r>
          </w:p>
        </w:tc>
      </w:tr>
      <w:tr>
        <w:tc>
          <w:tcPr>
            <w:tcW w:type="dxa" w:w="3135"/>
            <w:shd w:fill="F5F7FA"/>
          </w:tcPr>
          <w:p>
            <w:r>
              <w:rPr>
                <w:sz w:val="20"/>
              </w:rPr>
              <w:t>Clients</w:t>
            </w:r>
          </w:p>
        </w:tc>
        <w:tc>
          <w:tcPr>
            <w:tcW w:type="dxa" w:w="3135"/>
            <w:shd w:fill="F5F7FA"/>
          </w:tcPr>
          <w:p>
            <w:r>
              <w:rPr>
                <w:sz w:val="20"/>
              </w:rPr>
              <w:t>/clients/</w:t>
            </w:r>
          </w:p>
        </w:tc>
        <w:tc>
          <w:tcPr>
            <w:tcW w:type="dxa" w:w="3135"/>
            <w:shd w:fill="F5F7FA"/>
          </w:tcPr>
          <w:p>
            <w:r>
              <w:rPr>
                <w:sz w:val="20"/>
              </w:rPr>
              <w:t>Fichier clients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Dossiers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/dossiers/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Affaires et contentieux</w:t>
            </w:r>
          </w:p>
        </w:tc>
      </w:tr>
      <w:tr>
        <w:tc>
          <w:tcPr>
            <w:tcW w:type="dxa" w:w="3135"/>
            <w:shd w:fill="F5F7FA"/>
          </w:tcPr>
          <w:p>
            <w:r>
              <w:rPr>
                <w:sz w:val="20"/>
              </w:rPr>
              <w:t>Agenda</w:t>
            </w:r>
          </w:p>
        </w:tc>
        <w:tc>
          <w:tcPr>
            <w:tcW w:type="dxa" w:w="3135"/>
            <w:shd w:fill="F5F7FA"/>
          </w:tcPr>
          <w:p>
            <w:r>
              <w:rPr>
                <w:sz w:val="20"/>
              </w:rPr>
              <w:t>/agenda/</w:t>
            </w:r>
          </w:p>
        </w:tc>
        <w:tc>
          <w:tcPr>
            <w:tcW w:type="dxa" w:w="3135"/>
            <w:shd w:fill="F5F7FA"/>
          </w:tcPr>
          <w:p>
            <w:r>
              <w:rPr>
                <w:sz w:val="20"/>
              </w:rPr>
              <w:t>Événements, échéances et tâches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Documents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/documents/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GED par dossier</w:t>
            </w:r>
          </w:p>
        </w:tc>
      </w:tr>
      <w:tr>
        <w:tc>
          <w:tcPr>
            <w:tcW w:type="dxa" w:w="3135"/>
            <w:shd w:fill="F5F7FA"/>
          </w:tcPr>
          <w:p>
            <w:r>
              <w:rPr>
                <w:sz w:val="20"/>
              </w:rPr>
              <w:t>Facturation</w:t>
            </w:r>
          </w:p>
        </w:tc>
        <w:tc>
          <w:tcPr>
            <w:tcW w:type="dxa" w:w="3135"/>
            <w:shd w:fill="F5F7FA"/>
          </w:tcPr>
          <w:p>
            <w:r>
              <w:rPr>
                <w:sz w:val="20"/>
              </w:rPr>
              <w:t>/billing/</w:t>
            </w:r>
          </w:p>
        </w:tc>
        <w:tc>
          <w:tcPr>
            <w:tcW w:type="dxa" w:w="3135"/>
            <w:shd w:fill="F5F7FA"/>
          </w:tcPr>
          <w:p>
            <w:r>
              <w:rPr>
                <w:sz w:val="20"/>
              </w:rPr>
              <w:t>Temps, débours, factures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Invitations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/cabinets/invitations/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Gestion de l'équipe</w:t>
            </w:r>
          </w:p>
        </w:tc>
      </w:tr>
    </w:tbl>
    <w:p/>
    <w:p>
      <w:pPr>
        <w:pStyle w:val="Heading1"/>
      </w:pPr>
      <w:r>
        <w:t>5. Gestion des clients</w:t>
      </w:r>
    </w:p>
    <w:p>
      <w:pPr>
        <w:pStyle w:val="Heading2"/>
      </w:pPr>
      <w:r>
        <w:t>5.1 Consulter la liste des clients</w:t>
      </w:r>
    </w:p>
    <w:p>
      <w:pPr>
        <w:pStyle w:val="ListNumber"/>
        <w:ind w:left="283"/>
      </w:pPr>
      <w:r>
        <w:rPr>
          <w:sz w:val="22"/>
        </w:rPr>
        <w:t>Menu « Clients » ou URL /clients/.</w:t>
      </w:r>
    </w:p>
    <w:p>
      <w:pPr>
        <w:pStyle w:val="ListNumber"/>
        <w:ind w:left="283"/>
      </w:pPr>
      <w:r>
        <w:rPr>
          <w:sz w:val="22"/>
        </w:rPr>
        <w:t>Utiliser la barre de recherche (nom, e-mail, téléphone, raison sociale).</w:t>
      </w:r>
    </w:p>
    <w:p>
      <w:pPr>
        <w:pStyle w:val="ListNumber"/>
        <w:ind w:left="283"/>
      </w:pPr>
      <w:r>
        <w:rPr>
          <w:sz w:val="22"/>
        </w:rPr>
        <w:t>Parcourir les pages via la pagination en bas de liste.</w:t>
      </w:r>
    </w:p>
    <w:p>
      <w:pPr>
        <w:pStyle w:val="ListNumber"/>
        <w:ind w:left="283"/>
      </w:pPr>
      <w:r>
        <w:rPr>
          <w:sz w:val="22"/>
        </w:rPr>
        <w:t>Cliquer sur un client pour ouvrir sa fiche détaillée.</w:t>
      </w:r>
    </w:p>
    <w:p>
      <w:pPr>
        <w:pStyle w:val="Heading2"/>
      </w:pPr>
      <w:r>
        <w:t>5.2 Créer un client</w:t>
      </w:r>
    </w:p>
    <w:p>
      <w:pPr>
        <w:pStyle w:val="ListNumber"/>
        <w:ind w:left="283"/>
      </w:pPr>
      <w:r>
        <w:rPr>
          <w:sz w:val="22"/>
        </w:rPr>
        <w:t>Depuis /clients/, cliquer sur « Nouveau client ».</w:t>
      </w:r>
    </w:p>
    <w:p>
      <w:pPr>
        <w:pStyle w:val="ListNumber"/>
        <w:ind w:left="283"/>
      </w:pPr>
      <w:r>
        <w:rPr>
          <w:sz w:val="22"/>
        </w:rPr>
        <w:t>Choisir le type : Personne physique ou Société.</w:t>
      </w:r>
    </w:p>
    <w:p>
      <w:pPr>
        <w:pStyle w:val="ListNumber"/>
        <w:ind w:left="283"/>
      </w:pPr>
      <w:r>
        <w:rPr>
          <w:sz w:val="22"/>
        </w:rPr>
        <w:t>Renseigner les panneaux Identité, Coordonnées, Adresse et Notes.</w:t>
      </w:r>
    </w:p>
    <w:p>
      <w:pPr>
        <w:pStyle w:val="ListNumber"/>
        <w:ind w:left="283"/>
      </w:pPr>
      <w:r>
        <w:rPr>
          <w:sz w:val="22"/>
        </w:rPr>
        <w:t>Pour une personne : nom obligatoire. Pour une société : raison sociale obligatoire.</w:t>
      </w:r>
    </w:p>
    <w:p>
      <w:pPr>
        <w:pStyle w:val="ListNumber"/>
        <w:ind w:left="283"/>
      </w:pPr>
      <w:r>
        <w:rPr>
          <w:sz w:val="22"/>
        </w:rPr>
        <w:t>Enregistrer. Le client est rattaché au cabinet actif.</w:t>
      </w:r>
    </w:p>
    <w:p>
      <w:pPr>
        <w:pStyle w:val="Heading2"/>
      </w:pPr>
      <w:r>
        <w:t>5.3 Modifier ou supprimer un client</w:t>
      </w:r>
    </w:p>
    <w:p>
      <w:pPr>
        <w:pStyle w:val="ListNumber"/>
        <w:ind w:left="283"/>
      </w:pPr>
      <w:r>
        <w:rPr>
          <w:sz w:val="22"/>
        </w:rPr>
        <w:t>Ouvrir la fiche client.</w:t>
      </w:r>
    </w:p>
    <w:p>
      <w:pPr>
        <w:pStyle w:val="ListNumber"/>
        <w:ind w:left="283"/>
      </w:pPr>
      <w:r>
        <w:rPr>
          <w:sz w:val="22"/>
        </w:rPr>
        <w:t>Cliquer sur « Modifier » pour mettre à jour les informations.</w:t>
      </w:r>
    </w:p>
    <w:p>
      <w:pPr>
        <w:pStyle w:val="ListNumber"/>
        <w:ind w:left="283"/>
      </w:pPr>
      <w:r>
        <w:rPr>
          <w:sz w:val="22"/>
        </w:rPr>
        <w:t>La suppression est réservée aux rôles Propriétaire et Avocat.</w:t>
      </w:r>
    </w:p>
    <w:p>
      <w:pPr>
        <w:pStyle w:val="ListNumber"/>
        <w:ind w:left="283"/>
      </w:pPr>
      <w:r>
        <w:rPr>
          <w:sz w:val="22"/>
        </w:rPr>
        <w:t>Vérifier l'absence de dossiers liés avant toute suppression définitive.</w:t>
      </w:r>
    </w:p>
    <w:p>
      <w:pPr>
        <w:pStyle w:val="Heading2"/>
      </w:pPr>
      <w:r>
        <w:t>5.4 Fiche client</w:t>
      </w:r>
    </w:p>
    <w:p>
      <w:r>
        <w:t>La fiche présente l'identité du client, ses coordonnées, les notes internes et la liste des dossiers associés. Elle constitue le point d'entrée pour créer un nouveau dossier rattaché à ce client.</w:t>
      </w:r>
    </w:p>
    <w:p>
      <w:pPr>
        <w:pStyle w:val="Heading1"/>
      </w:pPr>
      <w:r>
        <w:t>6. Gestion des dossiers</w:t>
      </w:r>
    </w:p>
    <w:p>
      <w:pPr>
        <w:pStyle w:val="Heading2"/>
      </w:pPr>
      <w:r>
        <w:t>6.1 Consulter et filtrer les dossiers</w:t>
      </w:r>
    </w:p>
    <w:p>
      <w:pPr>
        <w:pStyle w:val="ListNumber"/>
        <w:ind w:left="283"/>
      </w:pPr>
      <w:r>
        <w:rPr>
          <w:sz w:val="22"/>
        </w:rPr>
        <w:t>Accéder à /dossiers/.</w:t>
      </w:r>
    </w:p>
    <w:p>
      <w:pPr>
        <w:pStyle w:val="ListNumber"/>
        <w:ind w:left="283"/>
      </w:pPr>
      <w:r>
        <w:rPr>
          <w:sz w:val="22"/>
        </w:rPr>
        <w:t>Filtrer par statut (ouvert, en cours, en attente, clos, archivé).</w:t>
      </w:r>
    </w:p>
    <w:p>
      <w:pPr>
        <w:pStyle w:val="ListNumber"/>
        <w:ind w:left="283"/>
      </w:pPr>
      <w:r>
        <w:rPr>
          <w:sz w:val="22"/>
        </w:rPr>
        <w:t>Rechercher par titre, référence ou client.</w:t>
      </w:r>
    </w:p>
    <w:p>
      <w:pPr>
        <w:pStyle w:val="ListNumber"/>
        <w:ind w:left="283"/>
      </w:pPr>
      <w:r>
        <w:rPr>
          <w:sz w:val="22"/>
        </w:rPr>
        <w:t>Ouvrir un dossier pour consulter le détail et l'historique des actions.</w:t>
      </w:r>
    </w:p>
    <w:p>
      <w:pPr>
        <w:pStyle w:val="Heading2"/>
      </w:pPr>
      <w:r>
        <w:t>6.2 Créer un dossier</w:t>
      </w:r>
    </w:p>
    <w:p>
      <w:pPr>
        <w:pStyle w:val="ListNumber"/>
        <w:ind w:left="283"/>
      </w:pPr>
      <w:r>
        <w:rPr>
          <w:sz w:val="22"/>
        </w:rPr>
        <w:t>Cliquer sur « Nouveau dossier ».</w:t>
      </w:r>
    </w:p>
    <w:p>
      <w:pPr>
        <w:pStyle w:val="ListNumber"/>
        <w:ind w:left="283"/>
      </w:pPr>
      <w:r>
        <w:rPr>
          <w:sz w:val="22"/>
        </w:rPr>
        <w:t>Sélectionner le client concerné.</w:t>
      </w:r>
    </w:p>
    <w:p>
      <w:pPr>
        <w:pStyle w:val="ListNumber"/>
        <w:ind w:left="283"/>
      </w:pPr>
      <w:r>
        <w:rPr>
          <w:sz w:val="22"/>
        </w:rPr>
        <w:t>Renseigner le titre, la matière, la juridiction et la partie adverse si applicable.</w:t>
      </w:r>
    </w:p>
    <w:p>
      <w:pPr>
        <w:pStyle w:val="ListNumber"/>
        <w:ind w:left="283"/>
      </w:pPr>
      <w:r>
        <w:rPr>
          <w:sz w:val="22"/>
        </w:rPr>
        <w:t>Assigner l'avocat responsable et définir le statut initial.</w:t>
      </w:r>
    </w:p>
    <w:p>
      <w:pPr>
        <w:pStyle w:val="ListNumber"/>
        <w:ind w:left="283"/>
      </w:pPr>
      <w:r>
        <w:rPr>
          <w:sz w:val="22"/>
        </w:rPr>
        <w:t>Enregistrer. Une référence unique est générée (format DOS-AAAA-NNNNN).</w:t>
      </w:r>
    </w:p>
    <w:p>
      <w:pPr>
        <w:pStyle w:val="Heading2"/>
      </w:pPr>
      <w:r>
        <w:t>6.3 Historique et suivi</w:t>
      </w:r>
    </w:p>
    <w:p>
      <w:r>
        <w:t>Chaque dossier conserve un journal des actions (MatterAction) : création, modification de statut, notes ajoutées. Consultez cet historique depuis la fiche dossier pour assurer la traçabilité du suivi.</w:t>
      </w:r>
    </w:p>
    <w:p>
      <w:pPr>
        <w:pStyle w:val="Heading2"/>
      </w:pPr>
      <w:r>
        <w:t>6.4 Clôturer un dossier</w:t>
      </w:r>
    </w:p>
    <w:p>
      <w:pPr>
        <w:pStyle w:val="ListNumber"/>
        <w:ind w:left="283"/>
      </w:pPr>
      <w:r>
        <w:rPr>
          <w:sz w:val="22"/>
        </w:rPr>
        <w:t>Ouvrir le dossier et cliquer sur « Modifier ».</w:t>
      </w:r>
    </w:p>
    <w:p>
      <w:pPr>
        <w:pStyle w:val="ListNumber"/>
        <w:ind w:left="283"/>
      </w:pPr>
      <w:r>
        <w:rPr>
          <w:sz w:val="22"/>
        </w:rPr>
        <w:t>Passer le statut à « Clos » ou « Archivé ».</w:t>
      </w:r>
    </w:p>
    <w:p>
      <w:pPr>
        <w:pStyle w:val="ListNumber"/>
        <w:ind w:left="283"/>
      </w:pPr>
      <w:r>
        <w:rPr>
          <w:sz w:val="22"/>
        </w:rPr>
        <w:t>Renseigner la date de clôture si nécessaire.</w:t>
      </w:r>
    </w:p>
    <w:p>
      <w:pPr>
        <w:pStyle w:val="ListNumber"/>
        <w:ind w:left="283"/>
      </w:pPr>
      <w:r>
        <w:rPr>
          <w:sz w:val="22"/>
        </w:rPr>
        <w:t>Vérifier que les temps et débours sont facturés avant clôture définitive.</w:t>
      </w:r>
    </w:p>
    <w:p>
      <w:pPr>
        <w:pStyle w:val="Heading1"/>
      </w:pPr>
      <w:r>
        <w:t>7. Agenda, événements et tâches</w:t>
      </w:r>
    </w:p>
    <w:p>
      <w:pPr>
        <w:pStyle w:val="Heading2"/>
      </w:pPr>
      <w:r>
        <w:t>7.1 Types d'éléments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2B4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703"/>
            <w:shd w:fill="1A2B4A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Rendez-vous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Audience, réunion client, conférence</w:t>
            </w:r>
          </w:p>
        </w:tc>
      </w:tr>
      <w:tr>
        <w:tc>
          <w:tcPr>
            <w:tcW w:type="dxa" w:w="4703"/>
            <w:shd w:fill="F5F7FA"/>
          </w:tcPr>
          <w:p>
            <w:r>
              <w:rPr>
                <w:sz w:val="20"/>
              </w:rPr>
              <w:t>Échéance</w:t>
            </w:r>
          </w:p>
        </w:tc>
        <w:tc>
          <w:tcPr>
            <w:tcW w:type="dxa" w:w="4703"/>
            <w:shd w:fill="F5F7FA"/>
          </w:tcPr>
          <w:p>
            <w:r>
              <w:rPr>
                <w:sz w:val="20"/>
              </w:rPr>
              <w:t>Date limite procédurale ou réglementaire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Tâche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Action à réaliser, cochable comme terminée</w:t>
            </w:r>
          </w:p>
        </w:tc>
      </w:tr>
    </w:tbl>
    <w:p/>
    <w:p>
      <w:pPr>
        <w:pStyle w:val="Heading2"/>
      </w:pPr>
      <w:r>
        <w:t>7.2 Créer un événement ou une tâche</w:t>
      </w:r>
    </w:p>
    <w:p>
      <w:pPr>
        <w:pStyle w:val="ListNumber"/>
        <w:ind w:left="283"/>
      </w:pPr>
      <w:r>
        <w:rPr>
          <w:sz w:val="22"/>
        </w:rPr>
        <w:t>Accéder à /agenda/ puis « Nouvel événement ».</w:t>
      </w:r>
    </w:p>
    <w:p>
      <w:pPr>
        <w:pStyle w:val="ListNumber"/>
        <w:ind w:left="283"/>
      </w:pPr>
      <w:r>
        <w:rPr>
          <w:sz w:val="22"/>
        </w:rPr>
        <w:t>Choisir le type (rendez-vous, échéance, tâche).</w:t>
      </w:r>
    </w:p>
    <w:p>
      <w:pPr>
        <w:pStyle w:val="ListNumber"/>
        <w:ind w:left="283"/>
      </w:pPr>
      <w:r>
        <w:rPr>
          <w:sz w:val="22"/>
        </w:rPr>
        <w:t>Renseigner titre, dates/heures, lieu et description.</w:t>
      </w:r>
    </w:p>
    <w:p>
      <w:pPr>
        <w:pStyle w:val="ListNumber"/>
        <w:ind w:left="283"/>
      </w:pPr>
      <w:r>
        <w:rPr>
          <w:sz w:val="22"/>
        </w:rPr>
        <w:t>Associer optionnellement un dossier.</w:t>
      </w:r>
    </w:p>
    <w:p>
      <w:pPr>
        <w:pStyle w:val="ListNumber"/>
        <w:ind w:left="283"/>
      </w:pPr>
      <w:r>
        <w:rPr>
          <w:sz w:val="22"/>
        </w:rPr>
        <w:t>Définir une date de rappel (remind_at) pour recevoir une notification.</w:t>
      </w:r>
    </w:p>
    <w:p>
      <w:pPr>
        <w:pStyle w:val="ListNumber"/>
        <w:ind w:left="283"/>
      </w:pPr>
      <w:r>
        <w:rPr>
          <w:sz w:val="22"/>
        </w:rPr>
        <w:t>Enregistrer.</w:t>
      </w:r>
    </w:p>
    <w:p>
      <w:pPr>
        <w:pStyle w:val="Heading2"/>
      </w:pPr>
      <w:r>
        <w:t>7.3 Rappels automatiques</w:t>
      </w:r>
    </w:p>
    <w:p>
      <w:r>
        <w:t>Les rappels programmés sont traités par le service Celery (tâches planifiées). Assurez-vous que le worker Celery et Celery Beat sont actifs en production. Sans eux, les rappels ne seront pas envoyés.</w:t>
      </w:r>
    </w:p>
    <w:p>
      <w:pPr>
        <w:pStyle w:val="Heading2"/>
      </w:pPr>
      <w:r>
        <w:t>7.4 Marquer une tâche comme terminée</w:t>
      </w:r>
    </w:p>
    <w:p>
      <w:pPr>
        <w:pStyle w:val="ListNumber"/>
        <w:ind w:left="283"/>
      </w:pPr>
      <w:r>
        <w:rPr>
          <w:sz w:val="22"/>
        </w:rPr>
        <w:t>Ouvrir l'événement de type « Tâche ».</w:t>
      </w:r>
    </w:p>
    <w:p>
      <w:pPr>
        <w:pStyle w:val="ListNumber"/>
        <w:ind w:left="283"/>
      </w:pPr>
      <w:r>
        <w:rPr>
          <w:sz w:val="22"/>
        </w:rPr>
        <w:t>Cocher « Terminé » ou utiliser l'action rapide depuis la liste.</w:t>
      </w:r>
    </w:p>
    <w:p>
      <w:pPr>
        <w:pStyle w:val="ListNumber"/>
        <w:ind w:left="283"/>
      </w:pPr>
      <w:r>
        <w:rPr>
          <w:sz w:val="22"/>
        </w:rPr>
        <w:t>La tâche disparaît des indicateurs « à venir » du tableau de bord.</w:t>
      </w:r>
    </w:p>
    <w:p>
      <w:pPr>
        <w:pStyle w:val="Heading1"/>
      </w:pPr>
      <w:r>
        <w:t>8. Gestion documentaire (GED)</w:t>
      </w:r>
    </w:p>
    <w:p>
      <w:pPr>
        <w:pStyle w:val="Heading2"/>
      </w:pPr>
      <w:r>
        <w:t>8.1 Principes</w:t>
      </w:r>
    </w:p>
    <w:p>
      <w:r>
        <w:t>Les documents sont stockés dans un espace privé (private_media/), hors accès web direct. Chaque document est rattaché à un dossier et versionné.</w:t>
      </w:r>
    </w:p>
    <w:p>
      <w:pPr>
        <w:pStyle w:val="Heading2"/>
      </w:pPr>
      <w:r>
        <w:t>8.2 Déposer un document</w:t>
      </w:r>
    </w:p>
    <w:p>
      <w:pPr>
        <w:pStyle w:val="ListNumber"/>
        <w:ind w:left="283"/>
      </w:pPr>
      <w:r>
        <w:rPr>
          <w:sz w:val="22"/>
        </w:rPr>
        <w:t>Accéder à /documents/ puis « Déposer un document ».</w:t>
      </w:r>
    </w:p>
    <w:p>
      <w:pPr>
        <w:pStyle w:val="ListNumber"/>
        <w:ind w:left="283"/>
      </w:pPr>
      <w:r>
        <w:rPr>
          <w:sz w:val="22"/>
        </w:rPr>
        <w:t>Sélectionner le dossier cible.</w:t>
      </w:r>
    </w:p>
    <w:p>
      <w:pPr>
        <w:pStyle w:val="ListNumber"/>
        <w:ind w:left="283"/>
      </w:pPr>
      <w:r>
        <w:rPr>
          <w:sz w:val="22"/>
        </w:rPr>
        <w:t>Choisir le fichier (respecter la taille maximale autorisée).</w:t>
      </w:r>
    </w:p>
    <w:p>
      <w:pPr>
        <w:pStyle w:val="ListNumber"/>
        <w:ind w:left="283"/>
      </w:pPr>
      <w:r>
        <w:rPr>
          <w:sz w:val="22"/>
        </w:rPr>
        <w:t>Renseigner titre, description et tags (séparés par des virgules).</w:t>
      </w:r>
    </w:p>
    <w:p>
      <w:pPr>
        <w:pStyle w:val="ListNumber"/>
        <w:ind w:left="283"/>
      </w:pPr>
      <w:r>
        <w:rPr>
          <w:sz w:val="22"/>
        </w:rPr>
        <w:t>Valider. La version 1 est créée automatiquement.</w:t>
      </w:r>
    </w:p>
    <w:p>
      <w:pPr>
        <w:pStyle w:val="Heading2"/>
      </w:pPr>
      <w:r>
        <w:t>8.3 Versions et métadonnées</w:t>
      </w:r>
    </w:p>
    <w:p>
      <w:pPr>
        <w:pStyle w:val="ListNumber"/>
        <w:ind w:left="283"/>
      </w:pPr>
      <w:r>
        <w:rPr>
          <w:sz w:val="22"/>
        </w:rPr>
        <w:t>Ouvrir la fiche document depuis /documents/.</w:t>
      </w:r>
    </w:p>
    <w:p>
      <w:pPr>
        <w:pStyle w:val="ListNumber"/>
        <w:ind w:left="283"/>
      </w:pPr>
      <w:r>
        <w:rPr>
          <w:sz w:val="22"/>
        </w:rPr>
        <w:t>Consulter l'historique des versions.</w:t>
      </w:r>
    </w:p>
    <w:p>
      <w:pPr>
        <w:pStyle w:val="ListNumber"/>
        <w:ind w:left="283"/>
      </w:pPr>
      <w:r>
        <w:rPr>
          <w:sz w:val="22"/>
        </w:rPr>
        <w:t>Ajouter une nouvelle version si le fichier a évolué.</w:t>
      </w:r>
    </w:p>
    <w:p>
      <w:pPr>
        <w:pStyle w:val="ListNumber"/>
        <w:ind w:left="283"/>
      </w:pPr>
      <w:r>
        <w:rPr>
          <w:sz w:val="22"/>
        </w:rPr>
        <w:t>Modifier les métadonnées (titre, description, tags) sans changer le fichier.</w:t>
      </w:r>
    </w:p>
    <w:p>
      <w:pPr>
        <w:pStyle w:val="ListNumber"/>
        <w:ind w:left="283"/>
      </w:pPr>
      <w:r>
        <w:rPr>
          <w:sz w:val="22"/>
        </w:rPr>
        <w:t>Télécharger ou prévisualiser une version spécifique.</w:t>
      </w:r>
    </w:p>
    <w:p>
      <w:pPr>
        <w:pStyle w:val="Heading2"/>
      </w:pPr>
      <w:r>
        <w:t>8.4 Suppression</w:t>
      </w:r>
    </w:p>
    <w:p>
      <w:r>
        <w:t>La suppression d'un document est réservée aux rôles autorisés (Propriétaire, Avocat). Elle est définitive pour l'ensemble des versions.</w:t>
      </w:r>
    </w:p>
    <w:p>
      <w:pPr>
        <w:pStyle w:val="Heading1"/>
      </w:pPr>
      <w:r>
        <w:t>9. Facturation</w:t>
      </w:r>
    </w:p>
    <w:p>
      <w:pPr>
        <w:pStyle w:val="Heading2"/>
      </w:pPr>
      <w:r>
        <w:t>9.1 Vue d'ensemble</w:t>
      </w:r>
    </w:p>
    <w:p>
      <w:r>
        <w:t>Le module Facturation (/billing/) regroupe les temps passés, les débours, les factures et le timer de saisie. Seul le Propriétaire peut gérer les paramètres avancés de facturation du cabinet.</w:t>
      </w:r>
    </w:p>
    <w:p>
      <w:pPr>
        <w:pStyle w:val="Heading2"/>
      </w:pPr>
      <w:r>
        <w:t>9.2 Saisir du temps</w:t>
      </w:r>
    </w:p>
    <w:p>
      <w:pPr>
        <w:pStyle w:val="ListNumber"/>
        <w:ind w:left="283"/>
      </w:pPr>
      <w:r>
        <w:rPr>
          <w:sz w:val="22"/>
        </w:rPr>
        <w:t>Aller dans Facturation → Temps passés → « Saisir du temps ».</w:t>
      </w:r>
    </w:p>
    <w:p>
      <w:pPr>
        <w:pStyle w:val="ListNumber"/>
        <w:ind w:left="283"/>
      </w:pPr>
      <w:r>
        <w:rPr>
          <w:sz w:val="22"/>
        </w:rPr>
        <w:t>Sélectionner le dossier et décrire la prestation.</w:t>
      </w:r>
    </w:p>
    <w:p>
      <w:pPr>
        <w:pStyle w:val="ListNumber"/>
        <w:ind w:left="283"/>
      </w:pPr>
      <w:r>
        <w:rPr>
          <w:sz w:val="22"/>
        </w:rPr>
        <w:t>Indiquer la durée en minutes et le taux horaire.</w:t>
      </w:r>
    </w:p>
    <w:p>
      <w:pPr>
        <w:pStyle w:val="ListNumber"/>
        <w:ind w:left="283"/>
      </w:pPr>
      <w:r>
        <w:rPr>
          <w:sz w:val="22"/>
        </w:rPr>
        <w:t>Cocher « Facturable » si le temps doit apparaître sur une facture.</w:t>
      </w:r>
    </w:p>
    <w:p>
      <w:pPr>
        <w:pStyle w:val="ListNumber"/>
        <w:ind w:left="283"/>
      </w:pPr>
      <w:r>
        <w:rPr>
          <w:sz w:val="22"/>
        </w:rPr>
        <w:t>Enregistrer.</w:t>
      </w:r>
    </w:p>
    <w:p>
      <w:pPr>
        <w:pStyle w:val="Heading2"/>
      </w:pPr>
      <w:r>
        <w:t>9.3 Utiliser le timer</w:t>
      </w:r>
    </w:p>
    <w:p>
      <w:pPr>
        <w:pStyle w:val="ListNumber"/>
        <w:ind w:left="283"/>
      </w:pPr>
      <w:r>
        <w:rPr>
          <w:sz w:val="22"/>
        </w:rPr>
        <w:t>Depuis le hub Facturation, démarrer un timer sur un dossier.</w:t>
      </w:r>
    </w:p>
    <w:p>
      <w:pPr>
        <w:pStyle w:val="ListNumber"/>
        <w:ind w:left="283"/>
      </w:pPr>
      <w:r>
        <w:rPr>
          <w:sz w:val="22"/>
        </w:rPr>
        <w:t>Travailler sur le dossier concerné.</w:t>
      </w:r>
    </w:p>
    <w:p>
      <w:pPr>
        <w:pStyle w:val="ListNumber"/>
        <w:ind w:left="283"/>
      </w:pPr>
      <w:r>
        <w:rPr>
          <w:sz w:val="22"/>
        </w:rPr>
        <w:t>Arrêter le timer : une entrée de temps est créée automatiquement.</w:t>
      </w:r>
    </w:p>
    <w:p>
      <w:pPr>
        <w:pStyle w:val="ListNumber"/>
        <w:ind w:left="283"/>
      </w:pPr>
      <w:r>
        <w:rPr>
          <w:sz w:val="22"/>
        </w:rPr>
        <w:t>Vérifier et ajuster la description ou la durée si nécessaire.</w:t>
      </w:r>
    </w:p>
    <w:p>
      <w:pPr>
        <w:pStyle w:val="Heading2"/>
      </w:pPr>
      <w:r>
        <w:t>9.4 Enregistrer un débours</w:t>
      </w:r>
    </w:p>
    <w:p>
      <w:pPr>
        <w:pStyle w:val="ListNumber"/>
        <w:ind w:left="283"/>
      </w:pPr>
      <w:r>
        <w:rPr>
          <w:sz w:val="22"/>
        </w:rPr>
        <w:t>Facturation → Débours → « Nouveau débours ».</w:t>
      </w:r>
    </w:p>
    <w:p>
      <w:pPr>
        <w:pStyle w:val="ListNumber"/>
        <w:ind w:left="283"/>
      </w:pPr>
      <w:r>
        <w:rPr>
          <w:sz w:val="22"/>
        </w:rPr>
        <w:t>Sélectionner le dossier, saisir description et montant.</w:t>
      </w:r>
    </w:p>
    <w:p>
      <w:pPr>
        <w:pStyle w:val="ListNumber"/>
        <w:ind w:left="283"/>
      </w:pPr>
      <w:r>
        <w:rPr>
          <w:sz w:val="22"/>
        </w:rPr>
        <w:t>Indiquer si le débours est refacturable au client.</w:t>
      </w:r>
    </w:p>
    <w:p>
      <w:pPr>
        <w:pStyle w:val="ListNumber"/>
        <w:ind w:left="283"/>
      </w:pPr>
      <w:r>
        <w:rPr>
          <w:sz w:val="22"/>
        </w:rPr>
        <w:t>Enregistrer.</w:t>
      </w:r>
    </w:p>
    <w:p>
      <w:pPr>
        <w:pStyle w:val="Heading2"/>
      </w:pPr>
      <w:r>
        <w:t>9.5 Émettre une facture</w:t>
      </w:r>
    </w:p>
    <w:p>
      <w:pPr>
        <w:pStyle w:val="ListNumber"/>
        <w:ind w:left="283"/>
      </w:pPr>
      <w:r>
        <w:rPr>
          <w:sz w:val="22"/>
        </w:rPr>
        <w:t>Facturation → Factures → « Nouvelle facture ».</w:t>
      </w:r>
    </w:p>
    <w:p>
      <w:pPr>
        <w:pStyle w:val="ListNumber"/>
        <w:ind w:left="283"/>
      </w:pPr>
      <w:r>
        <w:rPr>
          <w:sz w:val="22"/>
        </w:rPr>
        <w:t>Choisir le client et le dossier.</w:t>
      </w:r>
    </w:p>
    <w:p>
      <w:pPr>
        <w:pStyle w:val="ListNumber"/>
        <w:ind w:left="283"/>
      </w:pPr>
      <w:r>
        <w:rPr>
          <w:sz w:val="22"/>
        </w:rPr>
        <w:t>Sélectionner les temps et débours non encore facturés.</w:t>
      </w:r>
    </w:p>
    <w:p>
      <w:pPr>
        <w:pStyle w:val="ListNumber"/>
        <w:ind w:left="283"/>
      </w:pPr>
      <w:r>
        <w:rPr>
          <w:sz w:val="22"/>
        </w:rPr>
        <w:t>Vérifier le montant HT, la TVA et le total TTC.</w:t>
      </w:r>
    </w:p>
    <w:p>
      <w:pPr>
        <w:pStyle w:val="ListNumber"/>
        <w:ind w:left="283"/>
      </w:pPr>
      <w:r>
        <w:rPr>
          <w:sz w:val="22"/>
        </w:rPr>
        <w:t>Générer la facture (PDF via WeasyPrint en production).</w:t>
      </w:r>
    </w:p>
    <w:p>
      <w:pPr>
        <w:pStyle w:val="ListNumber"/>
        <w:ind w:left="283"/>
      </w:pPr>
      <w:r>
        <w:rPr>
          <w:sz w:val="22"/>
        </w:rPr>
        <w:t>Passer le statut à « Envoyée » après envoi au client.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2B4A"/>
          </w:tcPr>
          <w:p>
            <w:r>
              <w:rPr>
                <w:b/>
                <w:color w:val="FFFFFF"/>
                <w:sz w:val="20"/>
              </w:rPr>
              <w:t>Statut facture</w:t>
            </w:r>
          </w:p>
        </w:tc>
        <w:tc>
          <w:tcPr>
            <w:tcW w:type="dxa" w:w="4703"/>
            <w:shd w:fill="1A2B4A"/>
          </w:tcPr>
          <w:p>
            <w:r>
              <w:rPr>
                <w:b/>
                <w:color w:val="FFFFFF"/>
                <w:sz w:val="20"/>
              </w:rPr>
              <w:t>Signification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Brouillon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 cours de préparation, modifiable</w:t>
            </w:r>
          </w:p>
        </w:tc>
      </w:tr>
      <w:tr>
        <w:tc>
          <w:tcPr>
            <w:tcW w:type="dxa" w:w="4703"/>
            <w:shd w:fill="F5F7FA"/>
          </w:tcPr>
          <w:p>
            <w:r>
              <w:rPr>
                <w:sz w:val="20"/>
              </w:rPr>
              <w:t>Envoyée</w:t>
            </w:r>
          </w:p>
        </w:tc>
        <w:tc>
          <w:tcPr>
            <w:tcW w:type="dxa" w:w="4703"/>
            <w:shd w:fill="F5F7FA"/>
          </w:tcPr>
          <w:p>
            <w:r>
              <w:rPr>
                <w:sz w:val="20"/>
              </w:rPr>
              <w:t>Transmise au client, en attente de paiement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Payée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Règlement reçu et enregistré</w:t>
            </w:r>
          </w:p>
        </w:tc>
      </w:tr>
      <w:tr>
        <w:tc>
          <w:tcPr>
            <w:tcW w:type="dxa" w:w="4703"/>
            <w:shd w:fill="F5F7FA"/>
          </w:tcPr>
          <w:p>
            <w:r>
              <w:rPr>
                <w:sz w:val="20"/>
              </w:rPr>
              <w:t>En retard</w:t>
            </w:r>
          </w:p>
        </w:tc>
        <w:tc>
          <w:tcPr>
            <w:tcW w:type="dxa" w:w="4703"/>
            <w:shd w:fill="F5F7FA"/>
          </w:tcPr>
          <w:p>
            <w:r>
              <w:rPr>
                <w:sz w:val="20"/>
              </w:rPr>
              <w:t>Échéance dépassée sans paiement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Annulée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Facture annulée, non comptabilisée</w:t>
            </w:r>
          </w:p>
        </w:tc>
      </w:tr>
    </w:tbl>
    <w:p/>
    <w:p>
      <w:pPr>
        <w:pStyle w:val="Heading1"/>
      </w:pPr>
      <w:r>
        <w:t>10. Sécurité, confidentialité et bonnes pratiques</w:t>
      </w:r>
    </w:p>
    <w:p>
      <w:pPr>
        <w:pStyle w:val="Heading2"/>
      </w:pPr>
      <w:r>
        <w:t>10.1 Isolation multi-tenant</w:t>
      </w:r>
    </w:p>
    <w:p>
      <w:r>
        <w:t>AvoLex isole strictement les données par cabinet. Le middleware CabinetMiddleware filtre toutes les requêtes : sans cabinet actif valide, aucune donnée métier n'est accessible (principe fail-closed).</w:t>
      </w:r>
    </w:p>
    <w:p>
      <w:pPr>
        <w:pStyle w:val="Heading2"/>
      </w:pPr>
      <w:r>
        <w:t>10.2 Mots de passe et sessions</w:t>
      </w:r>
    </w:p>
    <w:p>
      <w:pPr>
        <w:pStyle w:val="ListNumber"/>
        <w:ind w:left="283"/>
      </w:pPr>
      <w:r>
        <w:rPr>
          <w:sz w:val="22"/>
        </w:rPr>
        <w:t>Utiliser un mot de passe unique et complexe pour AvoLex.</w:t>
      </w:r>
    </w:p>
    <w:p>
      <w:pPr>
        <w:pStyle w:val="ListNumber"/>
        <w:ind w:left="283"/>
      </w:pPr>
      <w:r>
        <w:rPr>
          <w:sz w:val="22"/>
        </w:rPr>
        <w:t>Ne jamais partager vos identifiants.</w:t>
      </w:r>
    </w:p>
    <w:p>
      <w:pPr>
        <w:pStyle w:val="ListNumber"/>
        <w:ind w:left="283"/>
      </w:pPr>
      <w:r>
        <w:rPr>
          <w:sz w:val="22"/>
        </w:rPr>
        <w:t>Se déconnecter sur les postes partagés (/accounts/logout/).</w:t>
      </w:r>
    </w:p>
    <w:p>
      <w:pPr>
        <w:pStyle w:val="ListNumber"/>
        <w:ind w:left="283"/>
      </w:pPr>
      <w:r>
        <w:rPr>
          <w:sz w:val="22"/>
        </w:rPr>
        <w:t>Renouveler le mot de passe en cas de suspicion de compromission.</w:t>
      </w:r>
    </w:p>
    <w:p>
      <w:pPr>
        <w:pStyle w:val="Heading2"/>
      </w:pPr>
      <w:r>
        <w:t>10.3 Documents et RGPD</w:t>
      </w:r>
    </w:p>
    <w:p>
      <w:r>
        <w:t>Les documents clients sont des données sensibles. Ne les téléchargez que sur des postes sécurisés. Respectez la durée de conservation définie par votre cabinet. En cas de demande d'effacement, coordonnez-vous avec le Propriétaire avant toute suppression.</w:t>
      </w:r>
    </w:p>
    <w:p>
      <w:pPr>
        <w:pStyle w:val="Heading2"/>
      </w:pPr>
      <w:r>
        <w:t>10.4 Rôles minimum</w:t>
      </w:r>
    </w:p>
    <w:p>
      <w:r>
        <w:t>Attribuez le rôle le plus restrictif compatible avec les missions : un stagiaire n'a pas besoin des droits de suppression ; un expert-comptable externe peut recevoir un accès lecture seule.</w:t>
      </w:r>
    </w:p>
    <w:p>
      <w:pPr>
        <w:pStyle w:val="Heading1"/>
      </w:pPr>
      <w:r>
        <w:t>11. API REST (usage avancé)</w:t>
      </w:r>
    </w:p>
    <w:p>
      <w:r>
        <w:t>Une API REST (Django REST Framework) est disponible sous /api/v1/ pour l'intégration avec des outils tiers.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2B4A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703"/>
            <w:shd w:fill="1A2B4A"/>
          </w:tcPr>
          <w:p>
            <w:r>
              <w:rPr>
                <w:b/>
                <w:color w:val="FFFFFF"/>
                <w:sz w:val="20"/>
              </w:rPr>
              <w:t>Ressource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/api/v1/clients/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Clients du cabinet actif</w:t>
            </w:r>
          </w:p>
        </w:tc>
      </w:tr>
      <w:tr>
        <w:tc>
          <w:tcPr>
            <w:tcW w:type="dxa" w:w="4703"/>
            <w:shd w:fill="F5F7FA"/>
          </w:tcPr>
          <w:p>
            <w:r>
              <w:rPr>
                <w:sz w:val="20"/>
              </w:rPr>
              <w:t>/api/v1/matters/</w:t>
            </w:r>
          </w:p>
        </w:tc>
        <w:tc>
          <w:tcPr>
            <w:tcW w:type="dxa" w:w="4703"/>
            <w:shd w:fill="F5F7FA"/>
          </w:tcPr>
          <w:p>
            <w:r>
              <w:rPr>
                <w:sz w:val="20"/>
              </w:rPr>
              <w:t>Dossiers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/api/v1/events/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Événements agenda</w:t>
            </w:r>
          </w:p>
        </w:tc>
      </w:tr>
    </w:tbl>
    <w:p/>
    <w:p>
      <w:r>
        <w:t>L'authentification repose sur la session Django (cookie après connexion web). Les mêmes règles de permissions s'appliquent que dans l'interface.</w:t>
      </w:r>
    </w:p>
    <w:p>
      <w:pPr>
        <w:pStyle w:val="Heading1"/>
      </w:pPr>
      <w:r>
        <w:t>12. Dépannage courant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2B4A"/>
          </w:tcPr>
          <w:p>
            <w:r>
              <w:rPr>
                <w:b/>
                <w:color w:val="FFFFFF"/>
                <w:sz w:val="20"/>
              </w:rPr>
              <w:t>Problème</w:t>
            </w:r>
          </w:p>
        </w:tc>
        <w:tc>
          <w:tcPr>
            <w:tcW w:type="dxa" w:w="4703"/>
            <w:shd w:fill="1A2B4A"/>
          </w:tcPr>
          <w:p>
            <w:r>
              <w:rPr>
                <w:b/>
                <w:color w:val="FFFFFF"/>
                <w:sz w:val="20"/>
              </w:rPr>
              <w:t>Action recommandée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Impossible de se connecter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Vérifier e-mail/mot de passe ; utiliser la réinitialisation</w:t>
            </w:r>
          </w:p>
        </w:tc>
      </w:tr>
      <w:tr>
        <w:tc>
          <w:tcPr>
            <w:tcW w:type="dxa" w:w="4703"/>
            <w:shd w:fill="F5F7FA"/>
          </w:tcPr>
          <w:p>
            <w:r>
              <w:rPr>
                <w:sz w:val="20"/>
              </w:rPr>
              <w:t>Module inaccessible</w:t>
            </w:r>
          </w:p>
        </w:tc>
        <w:tc>
          <w:tcPr>
            <w:tcW w:type="dxa" w:w="4703"/>
            <w:shd w:fill="F5F7FA"/>
          </w:tcPr>
          <w:p>
            <w:r>
              <w:rPr>
                <w:sz w:val="20"/>
              </w:rPr>
              <w:t>Vérifier votre rôle ; contacter le Propriétaire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Données absentes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Vérifier le cabinet actif dans le sélecteur</w:t>
            </w:r>
          </w:p>
        </w:tc>
      </w:tr>
      <w:tr>
        <w:tc>
          <w:tcPr>
            <w:tcW w:type="dxa" w:w="4703"/>
            <w:shd w:fill="F5F7FA"/>
          </w:tcPr>
          <w:p>
            <w:r>
              <w:rPr>
                <w:sz w:val="20"/>
              </w:rPr>
              <w:t>Rappels non reçus</w:t>
            </w:r>
          </w:p>
        </w:tc>
        <w:tc>
          <w:tcPr>
            <w:tcW w:type="dxa" w:w="4703"/>
            <w:shd w:fill="F5F7FA"/>
          </w:tcPr>
          <w:p>
            <w:r>
              <w:rPr>
                <w:sz w:val="20"/>
              </w:rPr>
              <w:t>Contacter l'administrateur (Celery worker/beat)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PDF facture indisponible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Vérifier WeasyPrint côté serveur</w:t>
            </w:r>
          </w:p>
        </w:tc>
      </w:tr>
    </w:tbl>
    <w:p/>
    <w:p>
      <w:pPr>
        <w:pStyle w:val="Heading1"/>
      </w:pPr>
      <w:r>
        <w:t>13. Environnement de démonstration</w:t>
      </w:r>
    </w:p>
    <w:p>
      <w:r>
        <w:t>Pour la formation ou les tests, un jeu de données de démonstration peut être chargé par l'administrateur technique 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2B4A"/>
          </w:tcPr>
          <w:p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4703"/>
            <w:shd w:fill="1A2B4A"/>
          </w:tcPr>
          <w:p>
            <w:r>
              <w:rPr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Commande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python manage.py seed_demo</w:t>
            </w:r>
          </w:p>
        </w:tc>
      </w:tr>
      <w:tr>
        <w:tc>
          <w:tcPr>
            <w:tcW w:type="dxa" w:w="4703"/>
            <w:shd w:fill="F5F7FA"/>
          </w:tcPr>
          <w:p>
            <w:r>
              <w:rPr>
                <w:sz w:val="20"/>
              </w:rPr>
              <w:t>E-mail</w:t>
            </w:r>
          </w:p>
        </w:tc>
        <w:tc>
          <w:tcPr>
            <w:tcW w:type="dxa" w:w="4703"/>
            <w:shd w:fill="F5F7FA"/>
          </w:tcPr>
          <w:p>
            <w:r>
              <w:rPr>
                <w:sz w:val="20"/>
              </w:rPr>
              <w:t>demo@avolex.local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Mot de passe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@12345678</w:t>
            </w:r>
          </w:p>
        </w:tc>
      </w:tr>
      <w:tr>
        <w:tc>
          <w:tcPr>
            <w:tcW w:type="dxa" w:w="4703"/>
            <w:shd w:fill="F5F7FA"/>
          </w:tcPr>
          <w:p>
            <w:r>
              <w:rPr>
                <w:sz w:val="20"/>
              </w:rPr>
              <w:t>URL application</w:t>
            </w:r>
          </w:p>
        </w:tc>
        <w:tc>
          <w:tcPr>
            <w:tcW w:type="dxa" w:w="4703"/>
            <w:shd w:fill="F5F7FA"/>
          </w:tcPr>
          <w:p>
            <w:r>
              <w:rPr>
                <w:sz w:val="20"/>
              </w:rPr>
              <w:t>http://127.0.0.1:8000/app/</w:t>
            </w:r>
          </w:p>
        </w:tc>
      </w:tr>
    </w:tbl>
    <w:p/>
    <w:p>
      <w:pPr>
        <w:pStyle w:val="Heading1"/>
      </w:pPr>
      <w:r>
        <w:t>14. Support et évolution</w:t>
      </w:r>
    </w:p>
    <w:p>
      <w:r>
        <w:t>Pour toute demande d'évolution fonctionnelle, de correction ou de formation complémentaire, contactez l'administrateur AvoLex de votre cabinet ou l'équipe technique responsable du déploiement.</w:t>
      </w:r>
    </w:p>
    <w:p/>
    <w:p>
      <w:pPr>
        <w:jc w:val="center"/>
      </w:pPr>
      <w:r>
        <w:rPr>
          <w:i/>
          <w:color w:val="5A5A5A"/>
        </w:rPr>
        <w:t>— Fin du document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fldChar w:fldCharType="begin"/>
    </w:r>
    <w:r>
      <w:rPr>
        <w:color w:val="5A5A5A"/>
        <w:sz w:val="18"/>
      </w:rPr>
      <w:instrText xml:space="preserve"> PAGE </w:instrText>
    </w:r>
    <w:r>
      <w:rPr>
        <w:color w:val="5A5A5A"/>
        <w:sz w:val="18"/>
      </w:rPr>
      <w:fldChar w:fldCharType="separate"/>
    </w:r>
    <w:r>
      <w:rPr>
        <w:color w:val="5A5A5A"/>
        <w:sz w:val="18"/>
      </w:rPr>
      <w:t>1</w:t>
    </w:r>
    <w:r>
      <w:rPr>
        <w:color w:val="5A5A5A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A5A5A"/>
        <w:sz w:val="18"/>
      </w:rPr>
      <w:t>AvoLex — Manuel de procédure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A2B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C5F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2C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